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0DF2" w14:textId="157C22C4" w:rsidR="006065E3" w:rsidRPr="006065E3" w:rsidRDefault="008C17D2" w:rsidP="006065E3">
      <w:pPr>
        <w:jc w:val="center"/>
        <w:rPr>
          <w:rFonts w:ascii="Times New Roman" w:hAnsi="Times New Roman" w:cs="Times New Roman"/>
          <w:b/>
          <w:sz w:val="28"/>
        </w:rPr>
      </w:pPr>
      <w:r>
        <w:rPr>
          <w:rFonts w:ascii="Times New Roman" w:hAnsi="Times New Roman" w:cs="Times New Roman"/>
          <w:b/>
          <w:sz w:val="28"/>
        </w:rPr>
        <w:t>Learning Lessons from Incidents at Other facilities</w:t>
      </w:r>
    </w:p>
    <w:p w14:paraId="7375F758" w14:textId="77777777" w:rsidR="006065E3" w:rsidRDefault="006065E3" w:rsidP="006065E3">
      <w:pPr>
        <w:jc w:val="center"/>
        <w:rPr>
          <w:rFonts w:ascii="Times New Roman" w:hAnsi="Times New Roman" w:cs="Times New Roman"/>
          <w:b/>
          <w:sz w:val="32"/>
        </w:rPr>
      </w:pPr>
    </w:p>
    <w:p w14:paraId="0F9EE388" w14:textId="4E5B62BA" w:rsidR="006065E3" w:rsidRPr="006065E3" w:rsidRDefault="008C17D2" w:rsidP="006065E3">
      <w:pPr>
        <w:jc w:val="center"/>
        <w:rPr>
          <w:rFonts w:ascii="Times New Roman" w:hAnsi="Times New Roman" w:cs="Times New Roman"/>
        </w:rPr>
      </w:pPr>
      <w:r>
        <w:rPr>
          <w:rFonts w:ascii="Times New Roman" w:hAnsi="Times New Roman" w:cs="Times New Roman"/>
        </w:rPr>
        <w:t>M.W. SUMMERFIELD</w:t>
      </w:r>
    </w:p>
    <w:p w14:paraId="5D8B95EC" w14:textId="2AFD9F70" w:rsidR="006065E3" w:rsidRPr="006065E3" w:rsidRDefault="008C17D2" w:rsidP="006065E3">
      <w:pPr>
        <w:jc w:val="center"/>
        <w:rPr>
          <w:rFonts w:ascii="Times New Roman" w:hAnsi="Times New Roman" w:cs="Times New Roman"/>
          <w:i/>
          <w:sz w:val="20"/>
        </w:rPr>
      </w:pPr>
      <w:r>
        <w:rPr>
          <w:rFonts w:ascii="Times New Roman" w:hAnsi="Times New Roman" w:cs="Times New Roman"/>
          <w:i/>
          <w:sz w:val="20"/>
        </w:rPr>
        <w:t>Technical Support Group, Reactor Operations, ANSTO</w:t>
      </w:r>
    </w:p>
    <w:p w14:paraId="4F035D71" w14:textId="190EA38B" w:rsidR="006065E3" w:rsidRPr="006065E3" w:rsidRDefault="008C17D2" w:rsidP="006065E3">
      <w:pPr>
        <w:jc w:val="center"/>
        <w:rPr>
          <w:rFonts w:ascii="Times New Roman" w:hAnsi="Times New Roman" w:cs="Times New Roman"/>
          <w:i/>
          <w:sz w:val="20"/>
        </w:rPr>
      </w:pPr>
      <w:r>
        <w:rPr>
          <w:rFonts w:ascii="Times New Roman" w:hAnsi="Times New Roman" w:cs="Times New Roman"/>
          <w:i/>
          <w:sz w:val="20"/>
        </w:rPr>
        <w:t>New Illawarra Road, Menai 2234, NSW, Australia</w:t>
      </w:r>
    </w:p>
    <w:p w14:paraId="4F24A8AB" w14:textId="77777777" w:rsidR="006065E3" w:rsidRDefault="006065E3" w:rsidP="006065E3">
      <w:pPr>
        <w:jc w:val="center"/>
        <w:rPr>
          <w:rFonts w:ascii="Times New Roman" w:hAnsi="Times New Roman" w:cs="Times New Roman"/>
          <w:i/>
          <w:sz w:val="22"/>
        </w:rPr>
      </w:pPr>
    </w:p>
    <w:p w14:paraId="03C1E8A5" w14:textId="77777777" w:rsidR="006065E3" w:rsidRDefault="006065E3" w:rsidP="006065E3">
      <w:pPr>
        <w:jc w:val="center"/>
        <w:rPr>
          <w:rFonts w:ascii="Times New Roman" w:hAnsi="Times New Roman" w:cs="Times New Roman"/>
          <w:sz w:val="20"/>
        </w:rPr>
      </w:pPr>
    </w:p>
    <w:p w14:paraId="7535C480" w14:textId="405D3993" w:rsidR="008C17D2" w:rsidRDefault="008C17D2" w:rsidP="008C17D2">
      <w:pPr>
        <w:ind w:left="864" w:right="1368"/>
        <w:jc w:val="both"/>
        <w:rPr>
          <w:rFonts w:ascii="Times New Roman" w:hAnsi="Times New Roman" w:cs="Times New Roman"/>
          <w:sz w:val="20"/>
          <w:szCs w:val="20"/>
        </w:rPr>
      </w:pPr>
      <w:r w:rsidRPr="008C17D2">
        <w:rPr>
          <w:rFonts w:ascii="Times New Roman" w:hAnsi="Times New Roman" w:cs="Times New Roman"/>
          <w:sz w:val="20"/>
          <w:szCs w:val="20"/>
        </w:rPr>
        <w:t xml:space="preserve">A key area to improving safety at any potentially hazardous facility such as a research reactor is through learning lessons from operational experience, including incidents and near-misses that occur at comparable facilities.  </w:t>
      </w:r>
    </w:p>
    <w:p w14:paraId="53768BD3" w14:textId="77777777" w:rsidR="008C17D2" w:rsidRPr="008C17D2" w:rsidRDefault="008C17D2" w:rsidP="008C17D2">
      <w:pPr>
        <w:ind w:left="864" w:right="1368"/>
        <w:jc w:val="both"/>
        <w:rPr>
          <w:rFonts w:ascii="Times New Roman" w:hAnsi="Times New Roman" w:cs="Times New Roman"/>
          <w:sz w:val="20"/>
          <w:szCs w:val="20"/>
        </w:rPr>
      </w:pPr>
    </w:p>
    <w:p w14:paraId="31F08134" w14:textId="05DF0C2D" w:rsidR="008C17D2" w:rsidRDefault="008C17D2" w:rsidP="00D86873">
      <w:pPr>
        <w:ind w:left="864" w:right="1368"/>
        <w:jc w:val="both"/>
        <w:rPr>
          <w:rFonts w:ascii="Times New Roman" w:hAnsi="Times New Roman" w:cs="Times New Roman"/>
          <w:sz w:val="20"/>
        </w:rPr>
      </w:pPr>
      <w:bookmarkStart w:id="0" w:name="_Hlk135222457"/>
      <w:r w:rsidRPr="008C17D2">
        <w:rPr>
          <w:rFonts w:ascii="Times New Roman" w:hAnsi="Times New Roman" w:cs="Times New Roman"/>
          <w:sz w:val="20"/>
        </w:rPr>
        <w:t xml:space="preserve">This paper </w:t>
      </w:r>
      <w:proofErr w:type="spellStart"/>
      <w:r w:rsidRPr="008C17D2">
        <w:rPr>
          <w:rFonts w:ascii="Times New Roman" w:hAnsi="Times New Roman" w:cs="Times New Roman"/>
          <w:sz w:val="20"/>
        </w:rPr>
        <w:t>summarises</w:t>
      </w:r>
      <w:proofErr w:type="spellEnd"/>
      <w:r w:rsidRPr="008C17D2">
        <w:rPr>
          <w:rFonts w:ascii="Times New Roman" w:hAnsi="Times New Roman" w:cs="Times New Roman"/>
          <w:sz w:val="20"/>
        </w:rPr>
        <w:t xml:space="preserve"> the approach taken by ANSTO Reactor Operations to gain insight and learnings from the National Bureau of Standard Reactor (NBSR) fuel failure incident of February 2021.  </w:t>
      </w:r>
      <w:bookmarkEnd w:id="0"/>
      <w:r w:rsidRPr="008C17D2">
        <w:rPr>
          <w:rFonts w:ascii="Times New Roman" w:hAnsi="Times New Roman" w:cs="Times New Roman"/>
          <w:sz w:val="20"/>
        </w:rPr>
        <w:t xml:space="preserve">It must be </w:t>
      </w:r>
      <w:proofErr w:type="spellStart"/>
      <w:r w:rsidRPr="008C17D2">
        <w:rPr>
          <w:rFonts w:ascii="Times New Roman" w:hAnsi="Times New Roman" w:cs="Times New Roman"/>
          <w:sz w:val="20"/>
        </w:rPr>
        <w:t>emphasised</w:t>
      </w:r>
      <w:proofErr w:type="spellEnd"/>
      <w:r w:rsidRPr="008C17D2">
        <w:rPr>
          <w:rFonts w:ascii="Times New Roman" w:hAnsi="Times New Roman" w:cs="Times New Roman"/>
          <w:sz w:val="20"/>
        </w:rPr>
        <w:t xml:space="preserve"> that this paper is not intended to be a review of the NBSR fuel failure or its subsequent investigation but rather, an example of how the sharing of operational experience by one research reactor facility can be highly beneficial to other facilities.</w:t>
      </w:r>
    </w:p>
    <w:p w14:paraId="58E2CAC0" w14:textId="0F890EA1" w:rsidR="008C17D2" w:rsidRDefault="008C17D2" w:rsidP="00D86873">
      <w:pPr>
        <w:ind w:left="864" w:right="1368"/>
        <w:jc w:val="both"/>
        <w:rPr>
          <w:rFonts w:ascii="Times New Roman" w:hAnsi="Times New Roman" w:cs="Times New Roman"/>
          <w:sz w:val="20"/>
        </w:rPr>
      </w:pPr>
    </w:p>
    <w:p w14:paraId="1802F907" w14:textId="4675A7FB" w:rsidR="008C17D2" w:rsidRDefault="008C17D2" w:rsidP="00D86873">
      <w:pPr>
        <w:ind w:left="864" w:right="1368"/>
        <w:jc w:val="both"/>
        <w:rPr>
          <w:rFonts w:ascii="Times New Roman" w:hAnsi="Times New Roman" w:cs="Times New Roman"/>
          <w:sz w:val="20"/>
        </w:rPr>
      </w:pPr>
      <w:r w:rsidRPr="008C17D2">
        <w:rPr>
          <w:rFonts w:ascii="Times New Roman" w:hAnsi="Times New Roman" w:cs="Times New Roman"/>
          <w:sz w:val="20"/>
        </w:rPr>
        <w:t xml:space="preserve">Although the design of ANSTO’s OPAL Reactor is significantly different to that of the NBSR, an initial review of the publicly available investigation reports indicated that </w:t>
      </w:r>
      <w:proofErr w:type="gramStart"/>
      <w:r w:rsidRPr="008C17D2">
        <w:rPr>
          <w:rFonts w:ascii="Times New Roman" w:hAnsi="Times New Roman" w:cs="Times New Roman"/>
          <w:sz w:val="20"/>
        </w:rPr>
        <w:t>a number of</w:t>
      </w:r>
      <w:proofErr w:type="gramEnd"/>
      <w:r w:rsidRPr="008C17D2">
        <w:rPr>
          <w:rFonts w:ascii="Times New Roman" w:hAnsi="Times New Roman" w:cs="Times New Roman"/>
          <w:sz w:val="20"/>
        </w:rPr>
        <w:t xml:space="preserve"> the identified contributory and root causes could be relevant to any research reactor.  The approach taken was to review and investigate the design, operational, </w:t>
      </w:r>
      <w:proofErr w:type="gramStart"/>
      <w:r w:rsidRPr="008C17D2">
        <w:rPr>
          <w:rFonts w:ascii="Times New Roman" w:hAnsi="Times New Roman" w:cs="Times New Roman"/>
          <w:sz w:val="20"/>
        </w:rPr>
        <w:t>training</w:t>
      </w:r>
      <w:proofErr w:type="gramEnd"/>
      <w:r w:rsidRPr="008C17D2">
        <w:rPr>
          <w:rFonts w:ascii="Times New Roman" w:hAnsi="Times New Roman" w:cs="Times New Roman"/>
          <w:sz w:val="20"/>
        </w:rPr>
        <w:t xml:space="preserve"> and human factors aspects of fuel management and handling within the OPAL Reactor, taking into consideration the root and contributory causes identified by the NBSR fuel failure investigation report.  </w:t>
      </w:r>
      <w:bookmarkStart w:id="1" w:name="_Hlk135833842"/>
      <w:r w:rsidRPr="008C17D2">
        <w:rPr>
          <w:rFonts w:ascii="Times New Roman" w:hAnsi="Times New Roman" w:cs="Times New Roman"/>
          <w:sz w:val="20"/>
        </w:rPr>
        <w:t xml:space="preserve">This review and investigation </w:t>
      </w:r>
      <w:proofErr w:type="gramStart"/>
      <w:r w:rsidRPr="008C17D2">
        <w:rPr>
          <w:rFonts w:ascii="Times New Roman" w:hAnsi="Times New Roman" w:cs="Times New Roman"/>
          <w:sz w:val="20"/>
        </w:rPr>
        <w:t>was</w:t>
      </w:r>
      <w:proofErr w:type="gramEnd"/>
      <w:r w:rsidRPr="008C17D2">
        <w:rPr>
          <w:rFonts w:ascii="Times New Roman" w:hAnsi="Times New Roman" w:cs="Times New Roman"/>
          <w:sz w:val="20"/>
        </w:rPr>
        <w:t xml:space="preserve"> performed through a series of toolbox sessions involving staff from across all areas of Reactor Operations.  </w:t>
      </w:r>
      <w:bookmarkEnd w:id="1"/>
    </w:p>
    <w:p w14:paraId="2ABA25FF" w14:textId="42506AFF" w:rsidR="008C17D2" w:rsidRDefault="008C17D2" w:rsidP="00D86873">
      <w:pPr>
        <w:ind w:left="864" w:right="1368"/>
        <w:jc w:val="both"/>
        <w:rPr>
          <w:rFonts w:ascii="Times New Roman" w:hAnsi="Times New Roman" w:cs="Times New Roman"/>
          <w:sz w:val="20"/>
        </w:rPr>
      </w:pPr>
    </w:p>
    <w:p w14:paraId="22259DCB" w14:textId="65ECEE19" w:rsidR="008C17D2" w:rsidRDefault="008C17D2" w:rsidP="00D86873">
      <w:pPr>
        <w:ind w:left="864" w:right="1368"/>
        <w:jc w:val="both"/>
        <w:rPr>
          <w:rFonts w:ascii="Times New Roman" w:hAnsi="Times New Roman" w:cs="Times New Roman"/>
          <w:sz w:val="20"/>
        </w:rPr>
      </w:pPr>
      <w:proofErr w:type="gramStart"/>
      <w:r w:rsidRPr="008C17D2">
        <w:rPr>
          <w:rFonts w:ascii="Times New Roman" w:hAnsi="Times New Roman" w:cs="Times New Roman"/>
          <w:sz w:val="20"/>
        </w:rPr>
        <w:t>A number of</w:t>
      </w:r>
      <w:proofErr w:type="gramEnd"/>
      <w:r w:rsidRPr="008C17D2">
        <w:rPr>
          <w:rFonts w:ascii="Times New Roman" w:hAnsi="Times New Roman" w:cs="Times New Roman"/>
          <w:sz w:val="20"/>
        </w:rPr>
        <w:t xml:space="preserve"> potential lessons to be learned were identified, including some that may be applicable to a wider range of facilities.  The benefits gained from the approach adopted, such as the involvement of multiple staff from across Reactor Operations, are also discussed.</w:t>
      </w:r>
    </w:p>
    <w:p w14:paraId="3992D9BC" w14:textId="77777777" w:rsidR="006065E3" w:rsidRDefault="006065E3" w:rsidP="006065E3">
      <w:pPr>
        <w:ind w:left="864" w:right="864"/>
        <w:jc w:val="both"/>
        <w:rPr>
          <w:rFonts w:ascii="Times New Roman" w:hAnsi="Times New Roman" w:cs="Times New Roman"/>
          <w:sz w:val="20"/>
        </w:rPr>
      </w:pPr>
    </w:p>
    <w:p w14:paraId="51B7C75B" w14:textId="65425DD2" w:rsidR="006065E3" w:rsidRPr="00266A9D" w:rsidRDefault="006065E3" w:rsidP="006065E3">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Introduction</w:t>
      </w:r>
    </w:p>
    <w:p w14:paraId="1267C188" w14:textId="77777777" w:rsidR="00266A9D" w:rsidRPr="00266A9D" w:rsidRDefault="00266A9D" w:rsidP="00266A9D">
      <w:pPr>
        <w:pStyle w:val="ListParagraph"/>
        <w:ind w:left="360" w:right="864"/>
        <w:jc w:val="both"/>
        <w:rPr>
          <w:rFonts w:ascii="Times New Roman" w:hAnsi="Times New Roman" w:cs="Times New Roman"/>
          <w:sz w:val="20"/>
        </w:rPr>
      </w:pPr>
    </w:p>
    <w:p w14:paraId="31783F38" w14:textId="639D9B23" w:rsidR="00266A9D" w:rsidRDefault="00647BBB" w:rsidP="00266A9D">
      <w:pPr>
        <w:pStyle w:val="ListParagraph"/>
        <w:ind w:left="360" w:right="864"/>
        <w:jc w:val="both"/>
        <w:rPr>
          <w:rFonts w:ascii="Times New Roman" w:hAnsi="Times New Roman" w:cs="Times New Roman"/>
          <w:sz w:val="22"/>
        </w:rPr>
      </w:pPr>
      <w:r>
        <w:rPr>
          <w:rFonts w:ascii="Times New Roman" w:hAnsi="Times New Roman" w:cs="Times New Roman"/>
          <w:sz w:val="22"/>
        </w:rPr>
        <w:t>A key area to improving safety at any potentially hazardous facility is through learning lessons from operational experience at other facilities, including incidents and near-misses that occur at comparable facilities.  This can even extend to learning lessons from incidents and near misses in what appear to be totally unrelated industries and situations.</w:t>
      </w:r>
    </w:p>
    <w:p w14:paraId="69E4DA53" w14:textId="0B987FAB" w:rsidR="00647BBB" w:rsidRDefault="00647BBB" w:rsidP="00266A9D">
      <w:pPr>
        <w:pStyle w:val="ListParagraph"/>
        <w:ind w:left="360" w:right="864"/>
        <w:jc w:val="both"/>
        <w:rPr>
          <w:rFonts w:ascii="Times New Roman" w:hAnsi="Times New Roman" w:cs="Times New Roman"/>
          <w:sz w:val="22"/>
        </w:rPr>
      </w:pPr>
    </w:p>
    <w:p w14:paraId="74666A9B" w14:textId="51A3B916" w:rsidR="00647BBB" w:rsidRDefault="00647BBB" w:rsidP="00266A9D">
      <w:pPr>
        <w:pStyle w:val="ListParagraph"/>
        <w:ind w:left="360" w:right="864"/>
        <w:jc w:val="both"/>
        <w:rPr>
          <w:rFonts w:ascii="Times New Roman" w:hAnsi="Times New Roman" w:cs="Times New Roman"/>
          <w:sz w:val="22"/>
        </w:rPr>
      </w:pPr>
      <w:r>
        <w:rPr>
          <w:rFonts w:ascii="Times New Roman" w:hAnsi="Times New Roman" w:cs="Times New Roman"/>
          <w:sz w:val="22"/>
        </w:rPr>
        <w:t xml:space="preserve">This paper </w:t>
      </w:r>
      <w:r w:rsidR="00A04852" w:rsidRPr="00647BBB">
        <w:rPr>
          <w:rFonts w:ascii="Times New Roman" w:hAnsi="Times New Roman" w:cs="Times New Roman"/>
          <w:sz w:val="22"/>
        </w:rPr>
        <w:t>summarizes</w:t>
      </w:r>
      <w:r w:rsidRPr="00647BBB">
        <w:rPr>
          <w:rFonts w:ascii="Times New Roman" w:hAnsi="Times New Roman" w:cs="Times New Roman"/>
          <w:sz w:val="22"/>
        </w:rPr>
        <w:t xml:space="preserve"> the approach taken by ANSTO Reactor Operations to gain insight and learnings from the National Bureau of Standard</w:t>
      </w:r>
      <w:r>
        <w:rPr>
          <w:rFonts w:ascii="Times New Roman" w:hAnsi="Times New Roman" w:cs="Times New Roman"/>
          <w:sz w:val="22"/>
        </w:rPr>
        <w:t>s</w:t>
      </w:r>
      <w:r w:rsidRPr="00647BBB">
        <w:rPr>
          <w:rFonts w:ascii="Times New Roman" w:hAnsi="Times New Roman" w:cs="Times New Roman"/>
          <w:sz w:val="22"/>
        </w:rPr>
        <w:t xml:space="preserve"> Reactor (NBSR) fuel failure incident of February 2021. </w:t>
      </w:r>
      <w:r>
        <w:rPr>
          <w:rFonts w:ascii="Times New Roman" w:hAnsi="Times New Roman" w:cs="Times New Roman"/>
          <w:sz w:val="22"/>
        </w:rPr>
        <w:t xml:space="preserve"> </w:t>
      </w:r>
      <w:proofErr w:type="gramStart"/>
      <w:r>
        <w:rPr>
          <w:rFonts w:ascii="Times New Roman" w:hAnsi="Times New Roman" w:cs="Times New Roman"/>
          <w:sz w:val="22"/>
        </w:rPr>
        <w:t>In particular, it</w:t>
      </w:r>
      <w:proofErr w:type="gramEnd"/>
      <w:r>
        <w:rPr>
          <w:rFonts w:ascii="Times New Roman" w:hAnsi="Times New Roman" w:cs="Times New Roman"/>
          <w:sz w:val="22"/>
        </w:rPr>
        <w:t xml:space="preserve"> describes a systematic and formalized methodology by which the fuel failure incident was assessed in relation to the OPAL </w:t>
      </w:r>
      <w:r w:rsidR="00DB55B8">
        <w:rPr>
          <w:rFonts w:ascii="Times New Roman" w:hAnsi="Times New Roman" w:cs="Times New Roman"/>
          <w:sz w:val="22"/>
        </w:rPr>
        <w:t>R</w:t>
      </w:r>
      <w:r>
        <w:rPr>
          <w:rFonts w:ascii="Times New Roman" w:hAnsi="Times New Roman" w:cs="Times New Roman"/>
          <w:sz w:val="22"/>
        </w:rPr>
        <w:t xml:space="preserve">eactor and may be used by other facilities.  It also identifies the lessons learned from the NBSR fuel incident that were subsequently identified as applicable to the OPAL </w:t>
      </w:r>
      <w:r w:rsidR="00DB55B8">
        <w:rPr>
          <w:rFonts w:ascii="Times New Roman" w:hAnsi="Times New Roman" w:cs="Times New Roman"/>
          <w:sz w:val="22"/>
        </w:rPr>
        <w:t>R</w:t>
      </w:r>
      <w:r>
        <w:rPr>
          <w:rFonts w:ascii="Times New Roman" w:hAnsi="Times New Roman" w:cs="Times New Roman"/>
          <w:sz w:val="22"/>
        </w:rPr>
        <w:t>eactor as well as some of these lessons that may be applicable generically to all research reactors.</w:t>
      </w:r>
    </w:p>
    <w:p w14:paraId="6139FBB4" w14:textId="087A0634" w:rsidR="00647BBB" w:rsidRDefault="00647BBB" w:rsidP="00266A9D">
      <w:pPr>
        <w:pStyle w:val="ListParagraph"/>
        <w:ind w:left="360" w:right="864"/>
        <w:jc w:val="both"/>
        <w:rPr>
          <w:rFonts w:ascii="Times New Roman" w:hAnsi="Times New Roman" w:cs="Times New Roman"/>
          <w:sz w:val="22"/>
        </w:rPr>
      </w:pPr>
    </w:p>
    <w:p w14:paraId="4478AA88" w14:textId="436EC201" w:rsidR="00647BBB" w:rsidRPr="00266A9D" w:rsidRDefault="00647BBB" w:rsidP="00647BBB">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The NBSR Fuel Incident</w:t>
      </w:r>
    </w:p>
    <w:p w14:paraId="4C4CBC40" w14:textId="77777777" w:rsidR="00647BBB" w:rsidRPr="00647BBB" w:rsidRDefault="00647BBB" w:rsidP="00647BBB">
      <w:pPr>
        <w:ind w:left="360" w:right="864"/>
        <w:jc w:val="both"/>
        <w:rPr>
          <w:rFonts w:ascii="Times New Roman" w:hAnsi="Times New Roman" w:cs="Times New Roman"/>
          <w:sz w:val="22"/>
        </w:rPr>
      </w:pPr>
    </w:p>
    <w:p w14:paraId="52EF63B3" w14:textId="79EE3C2B" w:rsidR="00647BBB" w:rsidRPr="00647BBB" w:rsidRDefault="00647BBB" w:rsidP="00266A9D">
      <w:pPr>
        <w:pStyle w:val="ListParagraph"/>
        <w:ind w:left="360" w:right="864"/>
        <w:jc w:val="both"/>
        <w:rPr>
          <w:rFonts w:ascii="Times New Roman" w:hAnsi="Times New Roman" w:cs="Times New Roman"/>
          <w:sz w:val="22"/>
          <w:szCs w:val="22"/>
        </w:rPr>
      </w:pPr>
      <w:r w:rsidRPr="00647BBB">
        <w:rPr>
          <w:rFonts w:ascii="Times New Roman" w:hAnsi="Times New Roman" w:cs="Times New Roman"/>
          <w:sz w:val="22"/>
          <w:szCs w:val="22"/>
        </w:rPr>
        <w:t>On the 3</w:t>
      </w:r>
      <w:r w:rsidRPr="00647BBB">
        <w:rPr>
          <w:rFonts w:ascii="Times New Roman" w:hAnsi="Times New Roman" w:cs="Times New Roman"/>
          <w:sz w:val="22"/>
          <w:szCs w:val="22"/>
          <w:vertAlign w:val="superscript"/>
        </w:rPr>
        <w:t>rd</w:t>
      </w:r>
      <w:r w:rsidRPr="00647BBB">
        <w:rPr>
          <w:rFonts w:ascii="Times New Roman" w:hAnsi="Times New Roman" w:cs="Times New Roman"/>
          <w:sz w:val="22"/>
          <w:szCs w:val="22"/>
        </w:rPr>
        <w:t xml:space="preserve"> of February 2021, the National Bureau of Standards Reactor (NBSR) was conducting a start-up one month after refueling on the 4</w:t>
      </w:r>
      <w:r w:rsidRPr="00647BBB">
        <w:rPr>
          <w:rFonts w:ascii="Times New Roman" w:hAnsi="Times New Roman" w:cs="Times New Roman"/>
          <w:sz w:val="22"/>
          <w:szCs w:val="22"/>
          <w:vertAlign w:val="superscript"/>
        </w:rPr>
        <w:t>th</w:t>
      </w:r>
      <w:r w:rsidRPr="00647BBB">
        <w:rPr>
          <w:rFonts w:ascii="Times New Roman" w:hAnsi="Times New Roman" w:cs="Times New Roman"/>
          <w:sz w:val="22"/>
          <w:szCs w:val="22"/>
        </w:rPr>
        <w:t xml:space="preserve"> of January 2021.  As the reactor </w:t>
      </w:r>
      <w:r w:rsidRPr="00647BBB">
        <w:rPr>
          <w:rFonts w:ascii="Times New Roman" w:hAnsi="Times New Roman" w:cs="Times New Roman"/>
          <w:sz w:val="22"/>
          <w:szCs w:val="22"/>
        </w:rPr>
        <w:lastRenderedPageBreak/>
        <w:t xml:space="preserve">was approaching full power, a release of fission products was detected, which is indicative of a fuel failure, and a reactor trip occurred.  </w:t>
      </w:r>
    </w:p>
    <w:p w14:paraId="12F78FA7" w14:textId="77777777" w:rsidR="00647BBB" w:rsidRDefault="00647BBB" w:rsidP="00266A9D">
      <w:pPr>
        <w:pStyle w:val="ListParagraph"/>
        <w:ind w:left="360" w:right="864"/>
        <w:jc w:val="both"/>
        <w:rPr>
          <w:rFonts w:ascii="Times New Roman" w:hAnsi="Times New Roman" w:cs="Times New Roman"/>
        </w:rPr>
      </w:pPr>
    </w:p>
    <w:p w14:paraId="6348DE7A" w14:textId="054432B2" w:rsidR="00432E26" w:rsidRPr="00647BBB" w:rsidRDefault="00647BBB" w:rsidP="00647BBB">
      <w:pPr>
        <w:pStyle w:val="ListParagraph"/>
        <w:ind w:left="360" w:right="864"/>
        <w:jc w:val="both"/>
        <w:rPr>
          <w:rFonts w:ascii="Times New Roman" w:hAnsi="Times New Roman" w:cs="Times New Roman"/>
          <w:sz w:val="22"/>
          <w:szCs w:val="22"/>
        </w:rPr>
      </w:pPr>
      <w:r w:rsidRPr="00647BBB">
        <w:rPr>
          <w:rFonts w:ascii="Times New Roman" w:hAnsi="Times New Roman" w:cs="Times New Roman"/>
          <w:sz w:val="22"/>
          <w:szCs w:val="22"/>
        </w:rPr>
        <w:t>A post-incident in-core video inspection revealed that one fuel element had lifted out of its secured position in the lower core grid plate and was skewed in an apparent unlatched condition.  This resulted in a lack of adequate cooling to the element and eventual fuel failure.</w:t>
      </w:r>
    </w:p>
    <w:p w14:paraId="245979CF" w14:textId="17A2B4F2" w:rsidR="00647BBB" w:rsidRPr="00647BBB" w:rsidRDefault="00647BBB" w:rsidP="00647BBB">
      <w:pPr>
        <w:pStyle w:val="ListParagraph"/>
        <w:ind w:left="360" w:right="864"/>
        <w:jc w:val="both"/>
        <w:rPr>
          <w:rFonts w:ascii="Times New Roman" w:hAnsi="Times New Roman" w:cs="Times New Roman"/>
          <w:sz w:val="22"/>
          <w:szCs w:val="22"/>
        </w:rPr>
      </w:pPr>
    </w:p>
    <w:p w14:paraId="58046AF9" w14:textId="73E4BFDE" w:rsidR="00647BBB" w:rsidRPr="00647BBB" w:rsidRDefault="00647BBB" w:rsidP="00647BBB">
      <w:pPr>
        <w:pStyle w:val="ListParagraph"/>
        <w:ind w:left="360" w:right="864"/>
        <w:jc w:val="both"/>
        <w:rPr>
          <w:rFonts w:ascii="Times New Roman" w:hAnsi="Times New Roman" w:cs="Times New Roman"/>
          <w:sz w:val="22"/>
          <w:szCs w:val="22"/>
        </w:rPr>
      </w:pPr>
      <w:r w:rsidRPr="00647BBB">
        <w:rPr>
          <w:rFonts w:ascii="Times New Roman" w:hAnsi="Times New Roman" w:cs="Times New Roman"/>
          <w:sz w:val="22"/>
          <w:szCs w:val="22"/>
        </w:rPr>
        <w:t>Following the incident, a detailed and comprehensive investigation was conducted by a NIST Centre for Neutron Research (NCNR) Technical Working Group and reported in [1].  This report was made publicly available and identified five root causes of the incident as follows</w:t>
      </w:r>
      <w:r w:rsidR="00DB55B8">
        <w:rPr>
          <w:rFonts w:ascii="Times New Roman" w:hAnsi="Times New Roman" w:cs="Times New Roman"/>
          <w:sz w:val="22"/>
          <w:szCs w:val="22"/>
        </w:rPr>
        <w:t>,</w:t>
      </w:r>
      <w:r w:rsidRPr="00647BBB">
        <w:rPr>
          <w:rFonts w:ascii="Times New Roman" w:hAnsi="Times New Roman" w:cs="Times New Roman"/>
          <w:sz w:val="22"/>
          <w:szCs w:val="22"/>
        </w:rPr>
        <w:t xml:space="preserve"> based on 15 causal </w:t>
      </w:r>
      <w:r>
        <w:rPr>
          <w:rFonts w:ascii="Times New Roman" w:hAnsi="Times New Roman" w:cs="Times New Roman"/>
          <w:sz w:val="22"/>
          <w:szCs w:val="22"/>
        </w:rPr>
        <w:t xml:space="preserve">or contributing </w:t>
      </w:r>
      <w:r w:rsidRPr="00647BBB">
        <w:rPr>
          <w:rFonts w:ascii="Times New Roman" w:hAnsi="Times New Roman" w:cs="Times New Roman"/>
          <w:sz w:val="22"/>
          <w:szCs w:val="22"/>
        </w:rPr>
        <w:t>factors:</w:t>
      </w:r>
    </w:p>
    <w:p w14:paraId="2A974949" w14:textId="08E3349D" w:rsidR="00647BBB" w:rsidRPr="00647BBB" w:rsidRDefault="00647BBB" w:rsidP="00647BBB">
      <w:pPr>
        <w:pStyle w:val="ListParagraph"/>
        <w:ind w:left="360" w:right="864"/>
        <w:jc w:val="both"/>
        <w:rPr>
          <w:rFonts w:ascii="Times New Roman" w:hAnsi="Times New Roman" w:cs="Times New Roman"/>
          <w:sz w:val="22"/>
          <w:szCs w:val="22"/>
        </w:rPr>
      </w:pPr>
    </w:p>
    <w:p w14:paraId="535B3B63" w14:textId="77777777" w:rsidR="00647BBB" w:rsidRPr="00647BBB" w:rsidRDefault="00647BBB" w:rsidP="00647BBB">
      <w:pPr>
        <w:pStyle w:val="ListParagraph"/>
        <w:numPr>
          <w:ilvl w:val="0"/>
          <w:numId w:val="6"/>
        </w:numPr>
        <w:ind w:right="864" w:hanging="513"/>
        <w:jc w:val="both"/>
        <w:rPr>
          <w:rFonts w:ascii="Times New Roman" w:hAnsi="Times New Roman" w:cs="Times New Roman"/>
          <w:sz w:val="22"/>
          <w:szCs w:val="22"/>
        </w:rPr>
      </w:pPr>
      <w:r w:rsidRPr="00647BBB">
        <w:rPr>
          <w:rFonts w:ascii="Times New Roman" w:hAnsi="Times New Roman" w:cs="Times New Roman"/>
          <w:sz w:val="22"/>
          <w:szCs w:val="22"/>
        </w:rPr>
        <w:t xml:space="preserve">The training and qualification program for operators was not on par with programmatic needs. </w:t>
      </w:r>
    </w:p>
    <w:p w14:paraId="6E021D4E" w14:textId="77777777" w:rsidR="00647BBB" w:rsidRPr="00647BBB" w:rsidRDefault="00647BBB" w:rsidP="00647BBB">
      <w:pPr>
        <w:pStyle w:val="ListParagraph"/>
        <w:numPr>
          <w:ilvl w:val="0"/>
          <w:numId w:val="6"/>
        </w:numPr>
        <w:ind w:right="864" w:hanging="513"/>
        <w:jc w:val="both"/>
        <w:rPr>
          <w:rFonts w:ascii="Times New Roman" w:hAnsi="Times New Roman" w:cs="Times New Roman"/>
          <w:sz w:val="22"/>
          <w:szCs w:val="22"/>
        </w:rPr>
      </w:pPr>
      <w:r w:rsidRPr="00647BBB">
        <w:rPr>
          <w:rFonts w:ascii="Times New Roman" w:hAnsi="Times New Roman" w:cs="Times New Roman"/>
          <w:sz w:val="22"/>
          <w:szCs w:val="22"/>
        </w:rPr>
        <w:t xml:space="preserve">Procedures as written do not capture necessary steps in assuring elements are latched. </w:t>
      </w:r>
    </w:p>
    <w:p w14:paraId="622B1918" w14:textId="77777777" w:rsidR="00647BBB" w:rsidRPr="00647BBB" w:rsidRDefault="00647BBB" w:rsidP="00647BBB">
      <w:pPr>
        <w:pStyle w:val="ListParagraph"/>
        <w:numPr>
          <w:ilvl w:val="0"/>
          <w:numId w:val="6"/>
        </w:numPr>
        <w:ind w:right="864" w:hanging="513"/>
        <w:jc w:val="both"/>
        <w:rPr>
          <w:rFonts w:ascii="Times New Roman" w:hAnsi="Times New Roman" w:cs="Times New Roman"/>
          <w:sz w:val="22"/>
          <w:szCs w:val="22"/>
        </w:rPr>
      </w:pPr>
      <w:r w:rsidRPr="00647BBB">
        <w:rPr>
          <w:rFonts w:ascii="Times New Roman" w:hAnsi="Times New Roman" w:cs="Times New Roman"/>
          <w:sz w:val="22"/>
          <w:szCs w:val="22"/>
        </w:rPr>
        <w:t xml:space="preserve">Procedural compliance was not enforced. </w:t>
      </w:r>
    </w:p>
    <w:p w14:paraId="2A6E8CF4" w14:textId="357298D4" w:rsidR="00647BBB" w:rsidRPr="00647BBB" w:rsidRDefault="00647BBB" w:rsidP="00647BBB">
      <w:pPr>
        <w:pStyle w:val="ListParagraph"/>
        <w:numPr>
          <w:ilvl w:val="0"/>
          <w:numId w:val="6"/>
        </w:numPr>
        <w:ind w:right="864" w:hanging="513"/>
        <w:jc w:val="both"/>
        <w:rPr>
          <w:rFonts w:ascii="Times New Roman" w:hAnsi="Times New Roman" w:cs="Times New Roman"/>
          <w:sz w:val="22"/>
          <w:szCs w:val="22"/>
        </w:rPr>
      </w:pPr>
      <w:r w:rsidRPr="00647BBB">
        <w:rPr>
          <w:rFonts w:ascii="Times New Roman" w:hAnsi="Times New Roman" w:cs="Times New Roman"/>
          <w:sz w:val="22"/>
          <w:szCs w:val="22"/>
        </w:rPr>
        <w:t>Inadequacies existed in the fidelity of latch determination equipment and tools</w:t>
      </w:r>
      <w:r w:rsidR="00DB55B8">
        <w:rPr>
          <w:rFonts w:ascii="Times New Roman" w:hAnsi="Times New Roman" w:cs="Times New Roman"/>
          <w:sz w:val="22"/>
          <w:szCs w:val="22"/>
        </w:rPr>
        <w:t>.</w:t>
      </w:r>
    </w:p>
    <w:p w14:paraId="0F661C44" w14:textId="302D454E" w:rsidR="00647BBB" w:rsidRPr="00647BBB" w:rsidRDefault="00647BBB" w:rsidP="00647BBB">
      <w:pPr>
        <w:pStyle w:val="ListParagraph"/>
        <w:numPr>
          <w:ilvl w:val="0"/>
          <w:numId w:val="6"/>
        </w:numPr>
        <w:ind w:right="864" w:hanging="513"/>
        <w:jc w:val="both"/>
        <w:rPr>
          <w:rFonts w:ascii="Times New Roman" w:hAnsi="Times New Roman" w:cs="Times New Roman"/>
          <w:sz w:val="22"/>
          <w:szCs w:val="22"/>
        </w:rPr>
      </w:pPr>
      <w:r w:rsidRPr="00647BBB">
        <w:rPr>
          <w:rFonts w:ascii="Times New Roman" w:hAnsi="Times New Roman" w:cs="Times New Roman"/>
          <w:sz w:val="22"/>
          <w:szCs w:val="22"/>
        </w:rPr>
        <w:t>There was inadequate management oversight of refueling staffing.</w:t>
      </w:r>
    </w:p>
    <w:p w14:paraId="66774AE2" w14:textId="4DAEB04B" w:rsidR="00647BBB" w:rsidRPr="00647BBB" w:rsidRDefault="00647BBB" w:rsidP="00647BBB">
      <w:pPr>
        <w:pStyle w:val="ListParagraph"/>
        <w:ind w:left="360" w:right="864"/>
        <w:jc w:val="both"/>
        <w:rPr>
          <w:rFonts w:ascii="Times New Roman" w:hAnsi="Times New Roman" w:cs="Times New Roman"/>
          <w:sz w:val="22"/>
          <w:szCs w:val="22"/>
        </w:rPr>
      </w:pPr>
    </w:p>
    <w:p w14:paraId="41AE03DD" w14:textId="55120D98" w:rsidR="00647BBB" w:rsidRPr="00647BBB" w:rsidRDefault="00647BBB" w:rsidP="00647BBB">
      <w:pPr>
        <w:pStyle w:val="ListParagraph"/>
        <w:ind w:left="360" w:right="864"/>
        <w:jc w:val="both"/>
        <w:rPr>
          <w:rFonts w:ascii="Times New Roman" w:hAnsi="Times New Roman" w:cs="Times New Roman"/>
          <w:sz w:val="22"/>
          <w:szCs w:val="22"/>
        </w:rPr>
      </w:pPr>
      <w:r w:rsidRPr="00647BBB">
        <w:rPr>
          <w:rFonts w:ascii="Times New Roman" w:hAnsi="Times New Roman" w:cs="Times New Roman"/>
          <w:sz w:val="22"/>
          <w:szCs w:val="22"/>
        </w:rPr>
        <w:t>A review of both the event response and the root cause investigation report was performed by a Safety Evaluation Committee (SEC) Subcommittee and reported in [2].  This report was also made publicly available and identified two further root causes as follows:</w:t>
      </w:r>
    </w:p>
    <w:p w14:paraId="7822B414" w14:textId="66635F92" w:rsidR="00647BBB" w:rsidRPr="00647BBB" w:rsidRDefault="00647BBB" w:rsidP="00647BBB">
      <w:pPr>
        <w:pStyle w:val="ListParagraph"/>
        <w:ind w:left="360" w:right="864"/>
        <w:jc w:val="both"/>
        <w:rPr>
          <w:rFonts w:ascii="Times New Roman" w:hAnsi="Times New Roman" w:cs="Times New Roman"/>
          <w:sz w:val="22"/>
          <w:szCs w:val="22"/>
        </w:rPr>
      </w:pPr>
    </w:p>
    <w:p w14:paraId="0D564B12" w14:textId="1B1F2080" w:rsidR="00647BBB" w:rsidRPr="00647BBB" w:rsidRDefault="00647BBB" w:rsidP="00647BBB">
      <w:pPr>
        <w:pStyle w:val="ListParagraph"/>
        <w:numPr>
          <w:ilvl w:val="0"/>
          <w:numId w:val="6"/>
        </w:numPr>
        <w:ind w:right="864" w:hanging="513"/>
        <w:jc w:val="both"/>
        <w:rPr>
          <w:rFonts w:ascii="Times New Roman" w:hAnsi="Times New Roman" w:cs="Times New Roman"/>
          <w:sz w:val="22"/>
          <w:szCs w:val="22"/>
        </w:rPr>
      </w:pPr>
      <w:r w:rsidRPr="00647BBB">
        <w:rPr>
          <w:rFonts w:ascii="Times New Roman" w:hAnsi="Times New Roman" w:cs="Times New Roman"/>
          <w:sz w:val="22"/>
          <w:szCs w:val="22"/>
        </w:rPr>
        <w:t>Change management program needs improvement</w:t>
      </w:r>
    </w:p>
    <w:p w14:paraId="142E886C" w14:textId="1503A1DF" w:rsidR="00647BBB" w:rsidRPr="00647BBB" w:rsidRDefault="00647BBB" w:rsidP="00647BBB">
      <w:pPr>
        <w:pStyle w:val="ListParagraph"/>
        <w:numPr>
          <w:ilvl w:val="0"/>
          <w:numId w:val="6"/>
        </w:numPr>
        <w:ind w:right="864" w:hanging="513"/>
        <w:jc w:val="both"/>
        <w:rPr>
          <w:rFonts w:ascii="Times New Roman" w:hAnsi="Times New Roman" w:cs="Times New Roman"/>
          <w:sz w:val="22"/>
          <w:szCs w:val="22"/>
        </w:rPr>
      </w:pPr>
      <w:r w:rsidRPr="00647BBB">
        <w:rPr>
          <w:rFonts w:ascii="Times New Roman" w:hAnsi="Times New Roman" w:cs="Times New Roman"/>
          <w:sz w:val="22"/>
          <w:szCs w:val="22"/>
        </w:rPr>
        <w:t xml:space="preserve">There was a culture of complacency, </w:t>
      </w:r>
      <w:r w:rsidR="00DB55B8">
        <w:rPr>
          <w:rFonts w:ascii="Times New Roman" w:hAnsi="Times New Roman" w:cs="Times New Roman"/>
          <w:sz w:val="22"/>
          <w:szCs w:val="22"/>
        </w:rPr>
        <w:t xml:space="preserve">with a </w:t>
      </w:r>
      <w:r w:rsidRPr="00647BBB">
        <w:rPr>
          <w:rFonts w:ascii="Times New Roman" w:hAnsi="Times New Roman" w:cs="Times New Roman"/>
          <w:sz w:val="22"/>
          <w:szCs w:val="22"/>
        </w:rPr>
        <w:t>lack of staff ownership of continuous improvement.</w:t>
      </w:r>
    </w:p>
    <w:p w14:paraId="144991DA" w14:textId="11E1BABA" w:rsidR="00647BBB" w:rsidRPr="00647BBB" w:rsidRDefault="00647BBB" w:rsidP="00647BBB">
      <w:pPr>
        <w:pStyle w:val="ListParagraph"/>
        <w:ind w:left="360" w:right="864"/>
        <w:jc w:val="both"/>
        <w:rPr>
          <w:rFonts w:ascii="Times New Roman" w:hAnsi="Times New Roman" w:cs="Times New Roman"/>
          <w:sz w:val="22"/>
          <w:szCs w:val="22"/>
        </w:rPr>
      </w:pPr>
    </w:p>
    <w:p w14:paraId="1BC52772" w14:textId="49B8074B" w:rsidR="00647BBB" w:rsidRDefault="00647BBB" w:rsidP="00647BBB">
      <w:pPr>
        <w:pStyle w:val="ListParagraph"/>
        <w:ind w:left="360" w:right="864"/>
        <w:jc w:val="both"/>
        <w:rPr>
          <w:rFonts w:ascii="Times New Roman" w:hAnsi="Times New Roman" w:cs="Times New Roman"/>
          <w:sz w:val="22"/>
          <w:szCs w:val="22"/>
        </w:rPr>
      </w:pPr>
      <w:r w:rsidRPr="00647BBB">
        <w:rPr>
          <w:rFonts w:ascii="Times New Roman" w:hAnsi="Times New Roman" w:cs="Times New Roman"/>
          <w:sz w:val="22"/>
          <w:szCs w:val="22"/>
        </w:rPr>
        <w:t xml:space="preserve">A total of 23 corrective actions were identified by NCNR </w:t>
      </w:r>
      <w:r w:rsidR="00E4513D">
        <w:rPr>
          <w:rFonts w:ascii="Times New Roman" w:hAnsi="Times New Roman" w:cs="Times New Roman"/>
          <w:sz w:val="22"/>
          <w:szCs w:val="22"/>
        </w:rPr>
        <w:t xml:space="preserve">as reported </w:t>
      </w:r>
      <w:r w:rsidRPr="00647BBB">
        <w:rPr>
          <w:rFonts w:ascii="Times New Roman" w:hAnsi="Times New Roman" w:cs="Times New Roman"/>
          <w:sz w:val="22"/>
          <w:szCs w:val="22"/>
        </w:rPr>
        <w:t>in [1] and [2] to address these seven root causes.</w:t>
      </w:r>
    </w:p>
    <w:p w14:paraId="369E4632" w14:textId="70F7B298" w:rsidR="00647BBB" w:rsidRDefault="00647BBB" w:rsidP="00647BBB">
      <w:pPr>
        <w:pStyle w:val="ListParagraph"/>
        <w:ind w:left="360" w:right="864"/>
        <w:jc w:val="both"/>
        <w:rPr>
          <w:rFonts w:ascii="Times New Roman" w:hAnsi="Times New Roman" w:cs="Times New Roman"/>
          <w:sz w:val="22"/>
          <w:szCs w:val="22"/>
        </w:rPr>
      </w:pPr>
    </w:p>
    <w:p w14:paraId="698B6787" w14:textId="1FF90408" w:rsidR="00647BBB" w:rsidRDefault="00647BBB"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A request to restart the NBSR was submitted by letter to the US Nuclear Regulatory Commission (NRC) in October 2021 as supplemented by letters in December 2021 and June, </w:t>
      </w:r>
      <w:proofErr w:type="gramStart"/>
      <w:r>
        <w:rPr>
          <w:rFonts w:ascii="Times New Roman" w:hAnsi="Times New Roman" w:cs="Times New Roman"/>
          <w:sz w:val="22"/>
          <w:szCs w:val="22"/>
        </w:rPr>
        <w:t>August</w:t>
      </w:r>
      <w:proofErr w:type="gramEnd"/>
      <w:r>
        <w:rPr>
          <w:rFonts w:ascii="Times New Roman" w:hAnsi="Times New Roman" w:cs="Times New Roman"/>
          <w:sz w:val="22"/>
          <w:szCs w:val="22"/>
        </w:rPr>
        <w:t xml:space="preserve"> and November 2022.  Following a comprehensive review of the submissions made by NCNR, the US NRC authorized the restart of the NBSR in March 2023.</w:t>
      </w:r>
    </w:p>
    <w:p w14:paraId="410F2345" w14:textId="7CC8E4AE" w:rsidR="00647BBB" w:rsidRDefault="00647BBB" w:rsidP="00647BBB">
      <w:pPr>
        <w:pStyle w:val="ListParagraph"/>
        <w:ind w:left="360" w:right="864"/>
        <w:jc w:val="both"/>
        <w:rPr>
          <w:rFonts w:ascii="Times New Roman" w:hAnsi="Times New Roman" w:cs="Times New Roman"/>
          <w:sz w:val="22"/>
          <w:szCs w:val="22"/>
        </w:rPr>
      </w:pPr>
    </w:p>
    <w:p w14:paraId="4A5F351D" w14:textId="390206F5" w:rsidR="00647BBB" w:rsidRPr="00266A9D" w:rsidRDefault="00647BBB" w:rsidP="00647BBB">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ANSTO Response</w:t>
      </w:r>
    </w:p>
    <w:p w14:paraId="41F9E684" w14:textId="76BA574B" w:rsidR="00647BBB" w:rsidRDefault="00647BBB" w:rsidP="00647BBB">
      <w:pPr>
        <w:pStyle w:val="ListParagraph"/>
        <w:ind w:left="360" w:right="864"/>
        <w:jc w:val="both"/>
        <w:rPr>
          <w:rFonts w:ascii="Times New Roman" w:hAnsi="Times New Roman" w:cs="Times New Roman"/>
          <w:sz w:val="22"/>
          <w:szCs w:val="22"/>
        </w:rPr>
      </w:pPr>
    </w:p>
    <w:p w14:paraId="65B3CA5C" w14:textId="3D1B1EB7" w:rsidR="00647BBB" w:rsidRDefault="00E4513D"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Like most other research reactor operating </w:t>
      </w:r>
      <w:r w:rsidR="00A04852">
        <w:rPr>
          <w:rFonts w:ascii="Times New Roman" w:hAnsi="Times New Roman" w:cs="Times New Roman"/>
          <w:sz w:val="22"/>
          <w:szCs w:val="22"/>
        </w:rPr>
        <w:t>organizations</w:t>
      </w:r>
      <w:r>
        <w:rPr>
          <w:rFonts w:ascii="Times New Roman" w:hAnsi="Times New Roman" w:cs="Times New Roman"/>
          <w:sz w:val="22"/>
          <w:szCs w:val="22"/>
        </w:rPr>
        <w:t>, ANSTO monitors incidents and events that occur or are reported at other facilities worldwide through both formal and informal means.  The formal means include notifications from the IAEA’s Incident Reporting Systems for Research Reactors (IRSRR) monitoring performed by ANSTO’s international liaison and corporate communications groups.  Informal means include news media and personal contacts among senior staff with their counterparts in other facilities.  Incidents and events that OPAL staff become aware or are notified of are subject to simplified screening review and assessment to determine their relevance to OPAL and whether further detailed review and assessment would be appropriate.</w:t>
      </w:r>
    </w:p>
    <w:p w14:paraId="5C3B4133" w14:textId="68413B6F" w:rsidR="00E4513D" w:rsidRDefault="00E4513D" w:rsidP="00647BBB">
      <w:pPr>
        <w:pStyle w:val="ListParagraph"/>
        <w:ind w:left="360" w:right="864"/>
        <w:jc w:val="both"/>
        <w:rPr>
          <w:rFonts w:ascii="Times New Roman" w:hAnsi="Times New Roman" w:cs="Times New Roman"/>
          <w:sz w:val="22"/>
          <w:szCs w:val="22"/>
        </w:rPr>
      </w:pPr>
    </w:p>
    <w:p w14:paraId="6C42D8D8" w14:textId="23BF7168" w:rsidR="00E4513D" w:rsidRDefault="00E4513D"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In the case of the NBSR fuel incident, members the OPAL senior management team became aware of the incident through the US NRC website shortly after the incident occurred.  At that time, it was agreed to wait until the formal incident investigation was completed and published before assessing the relevance, if any, to the OPAL </w:t>
      </w:r>
      <w:r w:rsidR="00DB55B8">
        <w:rPr>
          <w:rFonts w:ascii="Times New Roman" w:hAnsi="Times New Roman" w:cs="Times New Roman"/>
          <w:sz w:val="22"/>
          <w:szCs w:val="22"/>
        </w:rPr>
        <w:t>R</w:t>
      </w:r>
      <w:r>
        <w:rPr>
          <w:rFonts w:ascii="Times New Roman" w:hAnsi="Times New Roman" w:cs="Times New Roman"/>
          <w:sz w:val="22"/>
          <w:szCs w:val="22"/>
        </w:rPr>
        <w:t xml:space="preserve">eactor.  As such, when the </w:t>
      </w:r>
      <w:r>
        <w:rPr>
          <w:rFonts w:ascii="Times New Roman" w:hAnsi="Times New Roman" w:cs="Times New Roman"/>
          <w:sz w:val="22"/>
          <w:szCs w:val="22"/>
        </w:rPr>
        <w:lastRenderedPageBreak/>
        <w:t xml:space="preserve">request to restart was submitted to the US NRC in October 2021 with the formal incident investigation reports simultaneously made publicly available [1] and [2], this assessment was undertaken.  </w:t>
      </w:r>
      <w:r w:rsidRPr="00E4513D">
        <w:rPr>
          <w:rFonts w:ascii="Times New Roman" w:hAnsi="Times New Roman" w:cs="Times New Roman"/>
          <w:sz w:val="22"/>
          <w:szCs w:val="22"/>
        </w:rPr>
        <w:t xml:space="preserve">Although the design of ANSTO’s OPAL Reactor is significantly different to that of the NBSR, </w:t>
      </w:r>
      <w:r>
        <w:rPr>
          <w:rFonts w:ascii="Times New Roman" w:hAnsi="Times New Roman" w:cs="Times New Roman"/>
          <w:sz w:val="22"/>
          <w:szCs w:val="22"/>
        </w:rPr>
        <w:t>this assessment</w:t>
      </w:r>
      <w:r w:rsidRPr="00E4513D">
        <w:rPr>
          <w:rFonts w:ascii="Times New Roman" w:hAnsi="Times New Roman" w:cs="Times New Roman"/>
          <w:sz w:val="22"/>
          <w:szCs w:val="22"/>
        </w:rPr>
        <w:t xml:space="preserve"> indicated that </w:t>
      </w:r>
      <w:proofErr w:type="gramStart"/>
      <w:r w:rsidRPr="00E4513D">
        <w:rPr>
          <w:rFonts w:ascii="Times New Roman" w:hAnsi="Times New Roman" w:cs="Times New Roman"/>
          <w:sz w:val="22"/>
          <w:szCs w:val="22"/>
        </w:rPr>
        <w:t>a number of</w:t>
      </w:r>
      <w:proofErr w:type="gramEnd"/>
      <w:r w:rsidRPr="00E4513D">
        <w:rPr>
          <w:rFonts w:ascii="Times New Roman" w:hAnsi="Times New Roman" w:cs="Times New Roman"/>
          <w:sz w:val="22"/>
          <w:szCs w:val="22"/>
        </w:rPr>
        <w:t xml:space="preserve"> the identified contributory and root causes could be relevant to any research reactor.  The approach taken was to review and investigate the design, operational, </w:t>
      </w:r>
      <w:proofErr w:type="gramStart"/>
      <w:r w:rsidRPr="00E4513D">
        <w:rPr>
          <w:rFonts w:ascii="Times New Roman" w:hAnsi="Times New Roman" w:cs="Times New Roman"/>
          <w:sz w:val="22"/>
          <w:szCs w:val="22"/>
        </w:rPr>
        <w:t>training</w:t>
      </w:r>
      <w:proofErr w:type="gramEnd"/>
      <w:r w:rsidRPr="00E4513D">
        <w:rPr>
          <w:rFonts w:ascii="Times New Roman" w:hAnsi="Times New Roman" w:cs="Times New Roman"/>
          <w:sz w:val="22"/>
          <w:szCs w:val="22"/>
        </w:rPr>
        <w:t xml:space="preserve"> and human factors aspects of fuel management and handling within the OPAL Reactor, taking into consideration the root and contributory causes identified by the NBSR fuel failure investigation report</w:t>
      </w:r>
      <w:r>
        <w:rPr>
          <w:rFonts w:ascii="Times New Roman" w:hAnsi="Times New Roman" w:cs="Times New Roman"/>
          <w:sz w:val="22"/>
          <w:szCs w:val="22"/>
        </w:rPr>
        <w:t>s</w:t>
      </w:r>
      <w:r w:rsidRPr="00E4513D">
        <w:rPr>
          <w:rFonts w:ascii="Times New Roman" w:hAnsi="Times New Roman" w:cs="Times New Roman"/>
          <w:sz w:val="22"/>
          <w:szCs w:val="22"/>
        </w:rPr>
        <w:t xml:space="preserve">.  </w:t>
      </w:r>
    </w:p>
    <w:p w14:paraId="35F15408" w14:textId="77777777" w:rsidR="00E4513D" w:rsidRDefault="00E4513D" w:rsidP="00647BBB">
      <w:pPr>
        <w:pStyle w:val="ListParagraph"/>
        <w:ind w:left="360" w:right="864"/>
        <w:jc w:val="both"/>
        <w:rPr>
          <w:rFonts w:ascii="Times New Roman" w:hAnsi="Times New Roman" w:cs="Times New Roman"/>
          <w:sz w:val="22"/>
          <w:szCs w:val="22"/>
        </w:rPr>
      </w:pPr>
    </w:p>
    <w:p w14:paraId="3420C503" w14:textId="77777777" w:rsidR="00E4513D" w:rsidRDefault="00E4513D" w:rsidP="00647BBB">
      <w:pPr>
        <w:pStyle w:val="ListParagraph"/>
        <w:ind w:left="360" w:right="864"/>
        <w:jc w:val="both"/>
        <w:rPr>
          <w:rFonts w:ascii="Times New Roman" w:hAnsi="Times New Roman" w:cs="Times New Roman"/>
          <w:sz w:val="22"/>
          <w:szCs w:val="22"/>
        </w:rPr>
      </w:pPr>
      <w:r w:rsidRPr="00E4513D">
        <w:rPr>
          <w:rFonts w:ascii="Times New Roman" w:hAnsi="Times New Roman" w:cs="Times New Roman"/>
          <w:sz w:val="22"/>
          <w:szCs w:val="22"/>
        </w:rPr>
        <w:t xml:space="preserve">This review and investigation </w:t>
      </w:r>
      <w:proofErr w:type="gramStart"/>
      <w:r w:rsidRPr="00E4513D">
        <w:rPr>
          <w:rFonts w:ascii="Times New Roman" w:hAnsi="Times New Roman" w:cs="Times New Roman"/>
          <w:sz w:val="22"/>
          <w:szCs w:val="22"/>
        </w:rPr>
        <w:t>was</w:t>
      </w:r>
      <w:proofErr w:type="gramEnd"/>
      <w:r w:rsidRPr="00E4513D">
        <w:rPr>
          <w:rFonts w:ascii="Times New Roman" w:hAnsi="Times New Roman" w:cs="Times New Roman"/>
          <w:sz w:val="22"/>
          <w:szCs w:val="22"/>
        </w:rPr>
        <w:t xml:space="preserve"> performed through a series of toolbox sessions involving staff from across all areas of Reactor Operations</w:t>
      </w:r>
      <w:r>
        <w:rPr>
          <w:rFonts w:ascii="Times New Roman" w:hAnsi="Times New Roman" w:cs="Times New Roman"/>
          <w:sz w:val="22"/>
          <w:szCs w:val="22"/>
        </w:rPr>
        <w:t xml:space="preserve"> facilitated by the Chair of the OPAL Reactor Assessment Committee (RAC), the internal independent safety committee.  The Chair RAC was considered most appropriate to facilitate these workshops as he is a senior manager with extensive research reactor knowledge and experience but is also independent of the OPAL line management, </w:t>
      </w:r>
      <w:proofErr w:type="gramStart"/>
      <w:r>
        <w:rPr>
          <w:rFonts w:ascii="Times New Roman" w:hAnsi="Times New Roman" w:cs="Times New Roman"/>
          <w:sz w:val="22"/>
          <w:szCs w:val="22"/>
        </w:rPr>
        <w:t>i.e.</w:t>
      </w:r>
      <w:proofErr w:type="gramEnd"/>
      <w:r>
        <w:rPr>
          <w:rFonts w:ascii="Times New Roman" w:hAnsi="Times New Roman" w:cs="Times New Roman"/>
          <w:sz w:val="22"/>
          <w:szCs w:val="22"/>
        </w:rPr>
        <w:t xml:space="preserve"> he does not report to the OPAL Reactor Manager.  </w:t>
      </w:r>
    </w:p>
    <w:p w14:paraId="00901B1F" w14:textId="77777777" w:rsidR="00E4513D" w:rsidRDefault="00E4513D" w:rsidP="00647BBB">
      <w:pPr>
        <w:pStyle w:val="ListParagraph"/>
        <w:ind w:left="360" w:right="864"/>
        <w:jc w:val="both"/>
        <w:rPr>
          <w:rFonts w:ascii="Times New Roman" w:hAnsi="Times New Roman" w:cs="Times New Roman"/>
          <w:sz w:val="22"/>
          <w:szCs w:val="22"/>
        </w:rPr>
      </w:pPr>
    </w:p>
    <w:p w14:paraId="546509DB" w14:textId="412F413F" w:rsidR="00DB55B8" w:rsidRDefault="00DB55B8" w:rsidP="00DB55B8">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A total of five toolboxes were carried out over a period of 10 weeks </w:t>
      </w:r>
      <w:proofErr w:type="gramStart"/>
      <w:r>
        <w:rPr>
          <w:rFonts w:ascii="Times New Roman" w:hAnsi="Times New Roman" w:cs="Times New Roman"/>
          <w:sz w:val="22"/>
          <w:szCs w:val="22"/>
        </w:rPr>
        <w:t>so as to</w:t>
      </w:r>
      <w:proofErr w:type="gramEnd"/>
      <w:r>
        <w:rPr>
          <w:rFonts w:ascii="Times New Roman" w:hAnsi="Times New Roman" w:cs="Times New Roman"/>
          <w:sz w:val="22"/>
          <w:szCs w:val="22"/>
        </w:rPr>
        <w:t xml:space="preserve"> ensure that all shift personnel could participate.  Attendance included Shift Managers and Reactor Operators who form part of the Operations Group, </w:t>
      </w:r>
      <w:r w:rsidR="00A04852">
        <w:rPr>
          <w:rFonts w:ascii="Times New Roman" w:hAnsi="Times New Roman" w:cs="Times New Roman"/>
          <w:sz w:val="22"/>
          <w:szCs w:val="22"/>
        </w:rPr>
        <w:t>Utilization</w:t>
      </w:r>
      <w:r>
        <w:rPr>
          <w:rFonts w:ascii="Times New Roman" w:hAnsi="Times New Roman" w:cs="Times New Roman"/>
          <w:sz w:val="22"/>
          <w:szCs w:val="22"/>
        </w:rPr>
        <w:t xml:space="preserve"> Operators who form part of the </w:t>
      </w:r>
      <w:r w:rsidR="00A04852">
        <w:rPr>
          <w:rFonts w:ascii="Times New Roman" w:hAnsi="Times New Roman" w:cs="Times New Roman"/>
          <w:sz w:val="22"/>
          <w:szCs w:val="22"/>
        </w:rPr>
        <w:t>Utilization</w:t>
      </w:r>
      <w:r>
        <w:rPr>
          <w:rFonts w:ascii="Times New Roman" w:hAnsi="Times New Roman" w:cs="Times New Roman"/>
          <w:sz w:val="22"/>
          <w:szCs w:val="22"/>
        </w:rPr>
        <w:t xml:space="preserve"> Group and carry out the manual handling and movement of reactor fuel, and the relevant System Engineers.  Staff from Reactor Operations Training Group and the Technical Support Group also participated</w:t>
      </w:r>
    </w:p>
    <w:p w14:paraId="61AC5715" w14:textId="2B959B72" w:rsidR="00E4513D" w:rsidRDefault="00E4513D" w:rsidP="00647BBB">
      <w:pPr>
        <w:pStyle w:val="ListParagraph"/>
        <w:ind w:left="360" w:right="864"/>
        <w:jc w:val="both"/>
        <w:rPr>
          <w:rFonts w:ascii="Times New Roman" w:hAnsi="Times New Roman" w:cs="Times New Roman"/>
          <w:sz w:val="22"/>
          <w:szCs w:val="22"/>
        </w:rPr>
      </w:pPr>
    </w:p>
    <w:p w14:paraId="04395635" w14:textId="76A1F3F0" w:rsidR="00E4513D" w:rsidRDefault="00E4513D"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The toolboxes consisted of a presentation by the Chair RAC of the NBSR fuel incident followed by an open-ended roundtable discussion of the root causes and the contributary/causal factors in relation to the OPAL design or operations.  As facilitator, the Chair RAC encouraged all participants to be involved on the understanding that only the Chair’s notes would be made available to OPAL line management and that they would not identify participants.  The draft notes from each individual toolbox were reviewed by the toolboxes’ participants and modified as appropriate whilst continuing to main that anonymity.</w:t>
      </w:r>
    </w:p>
    <w:p w14:paraId="53549CA7" w14:textId="77777777" w:rsidR="00E4513D" w:rsidRDefault="00E4513D" w:rsidP="00647BBB">
      <w:pPr>
        <w:pStyle w:val="ListParagraph"/>
        <w:ind w:left="360" w:right="864"/>
        <w:jc w:val="both"/>
        <w:rPr>
          <w:rFonts w:ascii="Times New Roman" w:hAnsi="Times New Roman" w:cs="Times New Roman"/>
          <w:sz w:val="22"/>
          <w:szCs w:val="22"/>
        </w:rPr>
      </w:pPr>
    </w:p>
    <w:p w14:paraId="25791D96" w14:textId="217670A6" w:rsidR="00E4513D" w:rsidRPr="00E4513D" w:rsidRDefault="00E4513D"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After all the toolboxes were complete, the Chair RAC prepared a collated set of notes that were distributed to OPAL line management for consideration.  Where appropriate, the lessons learned have been incorporated into existing initiatives as part of the ongoing Reactor Operations workforce plans.</w:t>
      </w:r>
    </w:p>
    <w:p w14:paraId="58B9BBCC" w14:textId="106AD618" w:rsidR="00647BBB" w:rsidRDefault="00647BBB" w:rsidP="00647BBB">
      <w:pPr>
        <w:pStyle w:val="ListParagraph"/>
        <w:ind w:left="360" w:right="864"/>
        <w:jc w:val="both"/>
        <w:rPr>
          <w:rFonts w:ascii="Times New Roman" w:hAnsi="Times New Roman" w:cs="Times New Roman"/>
          <w:sz w:val="22"/>
          <w:szCs w:val="22"/>
        </w:rPr>
      </w:pPr>
    </w:p>
    <w:p w14:paraId="4E7D98EB" w14:textId="39F2AA9E" w:rsidR="00E4513D" w:rsidRPr="00E4513D" w:rsidRDefault="00E4513D" w:rsidP="00E4513D">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Feedback from ANSTO Toolboxes</w:t>
      </w:r>
    </w:p>
    <w:p w14:paraId="0C1E8138" w14:textId="77777777" w:rsidR="00E4513D" w:rsidRPr="00D721A0" w:rsidRDefault="00E4513D" w:rsidP="00D721A0">
      <w:pPr>
        <w:ind w:right="864"/>
        <w:jc w:val="both"/>
        <w:rPr>
          <w:rFonts w:ascii="Times New Roman" w:hAnsi="Times New Roman" w:cs="Times New Roman"/>
          <w:sz w:val="22"/>
          <w:szCs w:val="22"/>
        </w:rPr>
      </w:pPr>
    </w:p>
    <w:p w14:paraId="5356641C" w14:textId="37E8971D" w:rsidR="00E4513D" w:rsidRDefault="00D721A0" w:rsidP="00E4513D">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The feedback from the ANSTO toolboxes regarding the lessons learned applicable to the OPAL reactor were in many areas </w:t>
      </w:r>
      <w:proofErr w:type="gramStart"/>
      <w:r>
        <w:rPr>
          <w:rFonts w:ascii="Times New Roman" w:hAnsi="Times New Roman" w:cs="Times New Roman"/>
          <w:sz w:val="22"/>
          <w:szCs w:val="22"/>
        </w:rPr>
        <w:t>similar to</w:t>
      </w:r>
      <w:proofErr w:type="gramEnd"/>
      <w:r>
        <w:rPr>
          <w:rFonts w:ascii="Times New Roman" w:hAnsi="Times New Roman" w:cs="Times New Roman"/>
          <w:sz w:val="22"/>
          <w:szCs w:val="22"/>
        </w:rPr>
        <w:t xml:space="preserve"> the root causes identified in the investigation into the NBSR fuel incident.  </w:t>
      </w:r>
      <w:proofErr w:type="gramStart"/>
      <w:r>
        <w:rPr>
          <w:rFonts w:ascii="Times New Roman" w:hAnsi="Times New Roman" w:cs="Times New Roman"/>
          <w:sz w:val="22"/>
          <w:szCs w:val="22"/>
        </w:rPr>
        <w:t>In particular, a</w:t>
      </w:r>
      <w:proofErr w:type="gramEnd"/>
      <w:r>
        <w:rPr>
          <w:rFonts w:ascii="Times New Roman" w:hAnsi="Times New Roman" w:cs="Times New Roman"/>
          <w:sz w:val="22"/>
          <w:szCs w:val="22"/>
        </w:rPr>
        <w:t xml:space="preserve"> number of opportunities for improvement were identified in relation to:</w:t>
      </w:r>
    </w:p>
    <w:p w14:paraId="424A8471" w14:textId="3FC7C7FB" w:rsidR="00D721A0" w:rsidRDefault="00D721A0" w:rsidP="00D721A0">
      <w:pPr>
        <w:pStyle w:val="ListParagraph"/>
        <w:ind w:left="851" w:right="864" w:hanging="491"/>
        <w:jc w:val="both"/>
        <w:rPr>
          <w:rFonts w:ascii="Times New Roman" w:hAnsi="Times New Roman" w:cs="Times New Roman"/>
          <w:sz w:val="22"/>
          <w:szCs w:val="22"/>
        </w:rPr>
      </w:pPr>
    </w:p>
    <w:p w14:paraId="04568AC2" w14:textId="4E637E20" w:rsidR="00D721A0" w:rsidRDefault="00D721A0" w:rsidP="00D721A0">
      <w:pPr>
        <w:pStyle w:val="ListParagraph"/>
        <w:numPr>
          <w:ilvl w:val="0"/>
          <w:numId w:val="9"/>
        </w:numPr>
        <w:ind w:left="851" w:right="864" w:hanging="491"/>
        <w:jc w:val="both"/>
        <w:rPr>
          <w:rFonts w:ascii="Times New Roman" w:hAnsi="Times New Roman" w:cs="Times New Roman"/>
          <w:sz w:val="22"/>
          <w:szCs w:val="22"/>
        </w:rPr>
      </w:pPr>
      <w:r>
        <w:rPr>
          <w:rFonts w:ascii="Times New Roman" w:hAnsi="Times New Roman" w:cs="Times New Roman"/>
          <w:sz w:val="22"/>
          <w:szCs w:val="22"/>
        </w:rPr>
        <w:t xml:space="preserve">The training of OPAL operating staff (both Reactor Operations Staff and </w:t>
      </w:r>
      <w:r w:rsidR="00A04852">
        <w:rPr>
          <w:rFonts w:ascii="Times New Roman" w:hAnsi="Times New Roman" w:cs="Times New Roman"/>
          <w:sz w:val="22"/>
          <w:szCs w:val="22"/>
        </w:rPr>
        <w:t>Utilization</w:t>
      </w:r>
      <w:r>
        <w:rPr>
          <w:rFonts w:ascii="Times New Roman" w:hAnsi="Times New Roman" w:cs="Times New Roman"/>
          <w:sz w:val="22"/>
          <w:szCs w:val="22"/>
        </w:rPr>
        <w:t xml:space="preserve"> Staff</w:t>
      </w:r>
      <w:proofErr w:type="gramStart"/>
      <w:r>
        <w:rPr>
          <w:rFonts w:ascii="Times New Roman" w:hAnsi="Times New Roman" w:cs="Times New Roman"/>
          <w:sz w:val="22"/>
          <w:szCs w:val="22"/>
        </w:rPr>
        <w:t>);</w:t>
      </w:r>
      <w:proofErr w:type="gramEnd"/>
    </w:p>
    <w:p w14:paraId="30F136C9" w14:textId="7F89D50E" w:rsidR="00D721A0" w:rsidRDefault="00D721A0" w:rsidP="00D721A0">
      <w:pPr>
        <w:pStyle w:val="ListParagraph"/>
        <w:numPr>
          <w:ilvl w:val="0"/>
          <w:numId w:val="9"/>
        </w:numPr>
        <w:ind w:left="851" w:right="864" w:hanging="491"/>
        <w:jc w:val="both"/>
        <w:rPr>
          <w:rFonts w:ascii="Times New Roman" w:hAnsi="Times New Roman" w:cs="Times New Roman"/>
          <w:sz w:val="22"/>
          <w:szCs w:val="22"/>
        </w:rPr>
      </w:pPr>
      <w:r>
        <w:rPr>
          <w:rFonts w:ascii="Times New Roman" w:hAnsi="Times New Roman" w:cs="Times New Roman"/>
          <w:sz w:val="22"/>
          <w:szCs w:val="22"/>
        </w:rPr>
        <w:t>T</w:t>
      </w:r>
      <w:r w:rsidRPr="00D721A0">
        <w:rPr>
          <w:rFonts w:ascii="Times New Roman" w:hAnsi="Times New Roman" w:cs="Times New Roman"/>
          <w:sz w:val="22"/>
          <w:szCs w:val="22"/>
        </w:rPr>
        <w:t xml:space="preserve">he change management </w:t>
      </w:r>
      <w:proofErr w:type="gramStart"/>
      <w:r w:rsidRPr="00D721A0">
        <w:rPr>
          <w:rFonts w:ascii="Times New Roman" w:hAnsi="Times New Roman" w:cs="Times New Roman"/>
          <w:sz w:val="22"/>
          <w:szCs w:val="22"/>
        </w:rPr>
        <w:t>process</w:t>
      </w:r>
      <w:r>
        <w:rPr>
          <w:rFonts w:ascii="Times New Roman" w:hAnsi="Times New Roman" w:cs="Times New Roman"/>
          <w:sz w:val="22"/>
          <w:szCs w:val="22"/>
        </w:rPr>
        <w:t>;</w:t>
      </w:r>
      <w:proofErr w:type="gramEnd"/>
    </w:p>
    <w:p w14:paraId="620DA92D" w14:textId="77777777" w:rsidR="00D721A0" w:rsidRDefault="00D721A0" w:rsidP="00D721A0">
      <w:pPr>
        <w:pStyle w:val="ListParagraph"/>
        <w:numPr>
          <w:ilvl w:val="0"/>
          <w:numId w:val="9"/>
        </w:numPr>
        <w:ind w:left="851" w:right="864" w:hanging="491"/>
        <w:jc w:val="both"/>
        <w:rPr>
          <w:rFonts w:ascii="Times New Roman" w:hAnsi="Times New Roman" w:cs="Times New Roman"/>
          <w:sz w:val="22"/>
          <w:szCs w:val="22"/>
        </w:rPr>
      </w:pPr>
      <w:r>
        <w:rPr>
          <w:rFonts w:ascii="Times New Roman" w:hAnsi="Times New Roman" w:cs="Times New Roman"/>
          <w:sz w:val="22"/>
          <w:szCs w:val="22"/>
        </w:rPr>
        <w:t>The</w:t>
      </w:r>
      <w:r w:rsidRPr="00D721A0">
        <w:rPr>
          <w:rFonts w:ascii="Times New Roman" w:hAnsi="Times New Roman" w:cs="Times New Roman"/>
          <w:sz w:val="22"/>
          <w:szCs w:val="22"/>
        </w:rPr>
        <w:t xml:space="preserve"> resourcing of refueling </w:t>
      </w:r>
      <w:proofErr w:type="gramStart"/>
      <w:r w:rsidRPr="00D721A0">
        <w:rPr>
          <w:rFonts w:ascii="Times New Roman" w:hAnsi="Times New Roman" w:cs="Times New Roman"/>
          <w:sz w:val="22"/>
          <w:szCs w:val="22"/>
        </w:rPr>
        <w:t>activities</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p>
    <w:p w14:paraId="0D4D3652" w14:textId="484582D0" w:rsidR="00D721A0" w:rsidRDefault="00D721A0" w:rsidP="00D721A0">
      <w:pPr>
        <w:pStyle w:val="ListParagraph"/>
        <w:numPr>
          <w:ilvl w:val="0"/>
          <w:numId w:val="9"/>
        </w:numPr>
        <w:ind w:left="851" w:right="864" w:hanging="491"/>
        <w:jc w:val="both"/>
        <w:rPr>
          <w:rFonts w:ascii="Times New Roman" w:hAnsi="Times New Roman" w:cs="Times New Roman"/>
          <w:sz w:val="22"/>
          <w:szCs w:val="22"/>
        </w:rPr>
      </w:pPr>
      <w:r>
        <w:rPr>
          <w:rFonts w:ascii="Times New Roman" w:hAnsi="Times New Roman" w:cs="Times New Roman"/>
          <w:sz w:val="22"/>
          <w:szCs w:val="22"/>
        </w:rPr>
        <w:t>Knowledge management; and</w:t>
      </w:r>
    </w:p>
    <w:p w14:paraId="0CC42182" w14:textId="257269E6" w:rsidR="00D721A0" w:rsidRPr="00D721A0" w:rsidRDefault="00D721A0" w:rsidP="00D721A0">
      <w:pPr>
        <w:pStyle w:val="ListParagraph"/>
        <w:numPr>
          <w:ilvl w:val="0"/>
          <w:numId w:val="9"/>
        </w:numPr>
        <w:ind w:left="851" w:right="864" w:hanging="491"/>
        <w:jc w:val="both"/>
        <w:rPr>
          <w:rFonts w:ascii="Times New Roman" w:hAnsi="Times New Roman" w:cs="Times New Roman"/>
          <w:sz w:val="22"/>
          <w:szCs w:val="22"/>
        </w:rPr>
      </w:pPr>
      <w:r>
        <w:rPr>
          <w:rFonts w:ascii="Times New Roman" w:hAnsi="Times New Roman" w:cs="Times New Roman"/>
          <w:sz w:val="22"/>
          <w:szCs w:val="22"/>
        </w:rPr>
        <w:t>Procedural compliance.</w:t>
      </w:r>
    </w:p>
    <w:p w14:paraId="3686DD20" w14:textId="53D63D9F" w:rsidR="00E4513D" w:rsidRDefault="00E4513D" w:rsidP="00D721A0">
      <w:pPr>
        <w:pStyle w:val="ListParagraph"/>
        <w:ind w:left="426" w:right="864" w:hanging="66"/>
        <w:jc w:val="both"/>
        <w:rPr>
          <w:rFonts w:ascii="Times New Roman" w:hAnsi="Times New Roman" w:cs="Times New Roman"/>
          <w:sz w:val="22"/>
          <w:szCs w:val="22"/>
        </w:rPr>
      </w:pPr>
    </w:p>
    <w:p w14:paraId="4FC7E2CB" w14:textId="5F703412" w:rsidR="00E4513D" w:rsidRDefault="00D721A0"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lastRenderedPageBreak/>
        <w:t xml:space="preserve">Whilst many of the opportunities for improvement were specific to the OPAL situation, some were mirror images of </w:t>
      </w:r>
      <w:r w:rsidR="00DC3C4A">
        <w:rPr>
          <w:rFonts w:ascii="Times New Roman" w:hAnsi="Times New Roman" w:cs="Times New Roman"/>
          <w:sz w:val="22"/>
          <w:szCs w:val="22"/>
        </w:rPr>
        <w:t xml:space="preserve">the </w:t>
      </w:r>
      <w:r w:rsidRPr="00647BBB">
        <w:rPr>
          <w:rFonts w:ascii="Times New Roman" w:hAnsi="Times New Roman" w:cs="Times New Roman"/>
          <w:sz w:val="22"/>
          <w:szCs w:val="22"/>
        </w:rPr>
        <w:t xml:space="preserve">causal </w:t>
      </w:r>
      <w:r>
        <w:rPr>
          <w:rFonts w:ascii="Times New Roman" w:hAnsi="Times New Roman" w:cs="Times New Roman"/>
          <w:sz w:val="22"/>
          <w:szCs w:val="22"/>
        </w:rPr>
        <w:t xml:space="preserve">or contributing </w:t>
      </w:r>
      <w:r w:rsidRPr="00647BBB">
        <w:rPr>
          <w:rFonts w:ascii="Times New Roman" w:hAnsi="Times New Roman" w:cs="Times New Roman"/>
          <w:sz w:val="22"/>
          <w:szCs w:val="22"/>
        </w:rPr>
        <w:t>factors</w:t>
      </w:r>
      <w:r>
        <w:rPr>
          <w:rFonts w:ascii="Times New Roman" w:hAnsi="Times New Roman" w:cs="Times New Roman"/>
          <w:sz w:val="22"/>
          <w:szCs w:val="22"/>
        </w:rPr>
        <w:t xml:space="preserve"> identified by the NBSR fuel incident</w:t>
      </w:r>
      <w:r w:rsidRPr="00D721A0">
        <w:rPr>
          <w:rFonts w:ascii="Times New Roman" w:hAnsi="Times New Roman" w:cs="Times New Roman"/>
          <w:sz w:val="22"/>
          <w:szCs w:val="22"/>
        </w:rPr>
        <w:t xml:space="preserve"> </w:t>
      </w:r>
      <w:r>
        <w:rPr>
          <w:rFonts w:ascii="Times New Roman" w:hAnsi="Times New Roman" w:cs="Times New Roman"/>
          <w:sz w:val="22"/>
          <w:szCs w:val="22"/>
        </w:rPr>
        <w:t>investigation.  In addition, the OPAL toolboxes identified further lessons learned in relation to reporting of incidents (particularly near-misses), an accumulation of obsolescent and/or defective tools in the work area and operational pressures to complete work to schedule.</w:t>
      </w:r>
    </w:p>
    <w:p w14:paraId="51FBF416" w14:textId="49CFCFAD" w:rsidR="00D721A0" w:rsidRDefault="00D721A0" w:rsidP="00647BBB">
      <w:pPr>
        <w:pStyle w:val="ListParagraph"/>
        <w:ind w:left="360" w:right="864"/>
        <w:jc w:val="both"/>
        <w:rPr>
          <w:rFonts w:ascii="Times New Roman" w:hAnsi="Times New Roman" w:cs="Times New Roman"/>
          <w:sz w:val="22"/>
          <w:szCs w:val="22"/>
        </w:rPr>
      </w:pPr>
    </w:p>
    <w:p w14:paraId="6D8931C8" w14:textId="4BB6E8DF" w:rsidR="00D00878" w:rsidRDefault="00D721A0" w:rsidP="00647BBB">
      <w:pPr>
        <w:pStyle w:val="ListParagraph"/>
        <w:ind w:left="360" w:right="864"/>
        <w:jc w:val="both"/>
        <w:rPr>
          <w:rFonts w:ascii="Times New Roman" w:hAnsi="Times New Roman" w:cs="Times New Roman"/>
          <w:sz w:val="22"/>
          <w:szCs w:val="22"/>
        </w:rPr>
      </w:pPr>
      <w:r w:rsidRPr="00D721A0">
        <w:rPr>
          <w:rFonts w:ascii="Times New Roman" w:hAnsi="Times New Roman" w:cs="Times New Roman"/>
          <w:sz w:val="22"/>
          <w:szCs w:val="22"/>
        </w:rPr>
        <w:t xml:space="preserve">However, positive feedback was identified </w:t>
      </w:r>
      <w:r>
        <w:rPr>
          <w:rFonts w:ascii="Times New Roman" w:hAnsi="Times New Roman" w:cs="Times New Roman"/>
          <w:sz w:val="22"/>
          <w:szCs w:val="22"/>
        </w:rPr>
        <w:t>in relation to t</w:t>
      </w:r>
      <w:r w:rsidRPr="00D721A0">
        <w:rPr>
          <w:rFonts w:ascii="Times New Roman" w:hAnsi="Times New Roman" w:cs="Times New Roman"/>
          <w:sz w:val="22"/>
          <w:szCs w:val="22"/>
        </w:rPr>
        <w:t xml:space="preserve">he roundtable nature of the </w:t>
      </w:r>
      <w:r>
        <w:rPr>
          <w:rFonts w:ascii="Times New Roman" w:hAnsi="Times New Roman" w:cs="Times New Roman"/>
          <w:sz w:val="22"/>
          <w:szCs w:val="22"/>
        </w:rPr>
        <w:t>toolbox sessions themselves</w:t>
      </w:r>
      <w:r w:rsidRPr="00D721A0">
        <w:rPr>
          <w:rFonts w:ascii="Times New Roman" w:hAnsi="Times New Roman" w:cs="Times New Roman"/>
          <w:sz w:val="22"/>
          <w:szCs w:val="22"/>
        </w:rPr>
        <w:t xml:space="preserve"> involving both </w:t>
      </w:r>
      <w:r w:rsidR="00DB55B8">
        <w:rPr>
          <w:rFonts w:ascii="Times New Roman" w:hAnsi="Times New Roman" w:cs="Times New Roman"/>
          <w:sz w:val="22"/>
          <w:szCs w:val="22"/>
        </w:rPr>
        <w:t>R</w:t>
      </w:r>
      <w:r w:rsidRPr="00D721A0">
        <w:rPr>
          <w:rFonts w:ascii="Times New Roman" w:hAnsi="Times New Roman" w:cs="Times New Roman"/>
          <w:sz w:val="22"/>
          <w:szCs w:val="22"/>
        </w:rPr>
        <w:t xml:space="preserve">eactor </w:t>
      </w:r>
      <w:r w:rsidR="00DB55B8">
        <w:rPr>
          <w:rFonts w:ascii="Times New Roman" w:hAnsi="Times New Roman" w:cs="Times New Roman"/>
          <w:sz w:val="22"/>
          <w:szCs w:val="22"/>
        </w:rPr>
        <w:t>O</w:t>
      </w:r>
      <w:r w:rsidRPr="00D721A0">
        <w:rPr>
          <w:rFonts w:ascii="Times New Roman" w:hAnsi="Times New Roman" w:cs="Times New Roman"/>
          <w:sz w:val="22"/>
          <w:szCs w:val="22"/>
        </w:rPr>
        <w:t xml:space="preserve">perators, </w:t>
      </w:r>
      <w:r w:rsidR="00A04852">
        <w:rPr>
          <w:rFonts w:ascii="Times New Roman" w:hAnsi="Times New Roman" w:cs="Times New Roman"/>
          <w:sz w:val="22"/>
          <w:szCs w:val="22"/>
        </w:rPr>
        <w:t>U</w:t>
      </w:r>
      <w:r w:rsidR="00A04852" w:rsidRPr="00D721A0">
        <w:rPr>
          <w:rFonts w:ascii="Times New Roman" w:hAnsi="Times New Roman" w:cs="Times New Roman"/>
          <w:sz w:val="22"/>
          <w:szCs w:val="22"/>
        </w:rPr>
        <w:t>tilization</w:t>
      </w:r>
      <w:r w:rsidRPr="00D721A0">
        <w:rPr>
          <w:rFonts w:ascii="Times New Roman" w:hAnsi="Times New Roman" w:cs="Times New Roman"/>
          <w:sz w:val="22"/>
          <w:szCs w:val="22"/>
        </w:rPr>
        <w:t xml:space="preserve"> </w:t>
      </w:r>
      <w:r w:rsidR="00DB55B8">
        <w:rPr>
          <w:rFonts w:ascii="Times New Roman" w:hAnsi="Times New Roman" w:cs="Times New Roman"/>
          <w:sz w:val="22"/>
          <w:szCs w:val="22"/>
        </w:rPr>
        <w:t>O</w:t>
      </w:r>
      <w:r w:rsidRPr="00D721A0">
        <w:rPr>
          <w:rFonts w:ascii="Times New Roman" w:hAnsi="Times New Roman" w:cs="Times New Roman"/>
          <w:sz w:val="22"/>
          <w:szCs w:val="22"/>
        </w:rPr>
        <w:t xml:space="preserve">perators and </w:t>
      </w:r>
      <w:r w:rsidR="00DB55B8">
        <w:rPr>
          <w:rFonts w:ascii="Times New Roman" w:hAnsi="Times New Roman" w:cs="Times New Roman"/>
          <w:sz w:val="22"/>
          <w:szCs w:val="22"/>
        </w:rPr>
        <w:t>S</w:t>
      </w:r>
      <w:r w:rsidRPr="00D721A0">
        <w:rPr>
          <w:rFonts w:ascii="Times New Roman" w:hAnsi="Times New Roman" w:cs="Times New Roman"/>
          <w:sz w:val="22"/>
          <w:szCs w:val="22"/>
        </w:rPr>
        <w:t xml:space="preserve">ystem </w:t>
      </w:r>
      <w:r w:rsidR="00DB55B8">
        <w:rPr>
          <w:rFonts w:ascii="Times New Roman" w:hAnsi="Times New Roman" w:cs="Times New Roman"/>
          <w:sz w:val="22"/>
          <w:szCs w:val="22"/>
        </w:rPr>
        <w:t>E</w:t>
      </w:r>
      <w:r w:rsidRPr="00D721A0">
        <w:rPr>
          <w:rFonts w:ascii="Times New Roman" w:hAnsi="Times New Roman" w:cs="Times New Roman"/>
          <w:sz w:val="22"/>
          <w:szCs w:val="22"/>
        </w:rPr>
        <w:t>ngineers</w:t>
      </w:r>
      <w:r>
        <w:rPr>
          <w:rFonts w:ascii="Times New Roman" w:hAnsi="Times New Roman" w:cs="Times New Roman"/>
          <w:sz w:val="22"/>
          <w:szCs w:val="22"/>
        </w:rPr>
        <w:t>.  It</w:t>
      </w:r>
      <w:r w:rsidRPr="00D721A0">
        <w:rPr>
          <w:rFonts w:ascii="Times New Roman" w:hAnsi="Times New Roman" w:cs="Times New Roman"/>
          <w:sz w:val="22"/>
          <w:szCs w:val="22"/>
        </w:rPr>
        <w:t xml:space="preserve"> was suggested that more toolbox sessions covering other processes and activities common</w:t>
      </w:r>
      <w:r>
        <w:rPr>
          <w:rFonts w:ascii="Times New Roman" w:hAnsi="Times New Roman" w:cs="Times New Roman"/>
          <w:sz w:val="22"/>
          <w:szCs w:val="22"/>
        </w:rPr>
        <w:t xml:space="preserve"> across different groups within OPAL</w:t>
      </w:r>
      <w:r w:rsidRPr="00D721A0">
        <w:rPr>
          <w:rFonts w:ascii="Times New Roman" w:hAnsi="Times New Roman" w:cs="Times New Roman"/>
          <w:sz w:val="22"/>
          <w:szCs w:val="22"/>
        </w:rPr>
        <w:t xml:space="preserve"> should be </w:t>
      </w:r>
      <w:r w:rsidR="00DB55B8">
        <w:rPr>
          <w:rFonts w:ascii="Times New Roman" w:hAnsi="Times New Roman" w:cs="Times New Roman"/>
          <w:sz w:val="22"/>
          <w:szCs w:val="22"/>
        </w:rPr>
        <w:t>organized and this is being reflected in revisions to the training schedule</w:t>
      </w:r>
      <w:r w:rsidRPr="00D721A0">
        <w:rPr>
          <w:rFonts w:ascii="Times New Roman" w:hAnsi="Times New Roman" w:cs="Times New Roman"/>
          <w:sz w:val="22"/>
          <w:szCs w:val="22"/>
        </w:rPr>
        <w:t>.</w:t>
      </w:r>
      <w:r w:rsidR="00DB55B8">
        <w:rPr>
          <w:rFonts w:ascii="Times New Roman" w:hAnsi="Times New Roman" w:cs="Times New Roman"/>
          <w:sz w:val="22"/>
          <w:szCs w:val="22"/>
        </w:rPr>
        <w:t xml:space="preserve">  Many of the participants were also appreciative of the opportunity to provide input anonymously as this encouraged greater involvement and openness in the roundtable discussions.</w:t>
      </w:r>
      <w:r w:rsidR="00D00878">
        <w:rPr>
          <w:rFonts w:ascii="Times New Roman" w:hAnsi="Times New Roman" w:cs="Times New Roman"/>
          <w:sz w:val="22"/>
          <w:szCs w:val="22"/>
        </w:rPr>
        <w:t xml:space="preserve">  </w:t>
      </w:r>
    </w:p>
    <w:p w14:paraId="31733235" w14:textId="77777777" w:rsidR="00D00878" w:rsidRDefault="00D00878" w:rsidP="00647BBB">
      <w:pPr>
        <w:pStyle w:val="ListParagraph"/>
        <w:ind w:left="360" w:right="864"/>
        <w:jc w:val="both"/>
        <w:rPr>
          <w:rFonts w:ascii="Times New Roman" w:hAnsi="Times New Roman" w:cs="Times New Roman"/>
          <w:sz w:val="22"/>
          <w:szCs w:val="22"/>
        </w:rPr>
      </w:pPr>
    </w:p>
    <w:p w14:paraId="445EF7F7" w14:textId="0EF60C67" w:rsidR="00D721A0" w:rsidRDefault="00D00878"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Overall, it was felt that the toolbox approach was an appropriate method for communicating an incident from another facility to OPAL personnel and </w:t>
      </w:r>
      <w:r w:rsidR="00DC3C4A" w:rsidRPr="00DC3C4A">
        <w:rPr>
          <w:rFonts w:ascii="Times New Roman" w:hAnsi="Times New Roman" w:cs="Times New Roman"/>
          <w:sz w:val="22"/>
          <w:szCs w:val="22"/>
        </w:rPr>
        <w:t>better than a simple lecture or presentation</w:t>
      </w:r>
      <w:r w:rsidR="00DC3C4A">
        <w:rPr>
          <w:rFonts w:ascii="Times New Roman" w:hAnsi="Times New Roman" w:cs="Times New Roman"/>
          <w:sz w:val="22"/>
          <w:szCs w:val="22"/>
        </w:rPr>
        <w:t>.  The toolboxes were also very good for</w:t>
      </w:r>
      <w:r>
        <w:rPr>
          <w:rFonts w:ascii="Times New Roman" w:hAnsi="Times New Roman" w:cs="Times New Roman"/>
          <w:sz w:val="22"/>
          <w:szCs w:val="22"/>
        </w:rPr>
        <w:t xml:space="preserve"> identifying lessons</w:t>
      </w:r>
      <w:r w:rsidRPr="00D00878">
        <w:rPr>
          <w:rFonts w:ascii="Times New Roman" w:hAnsi="Times New Roman" w:cs="Times New Roman"/>
          <w:sz w:val="22"/>
          <w:szCs w:val="22"/>
        </w:rPr>
        <w:t xml:space="preserve"> </w:t>
      </w:r>
      <w:r>
        <w:rPr>
          <w:rFonts w:ascii="Times New Roman" w:hAnsi="Times New Roman" w:cs="Times New Roman"/>
          <w:sz w:val="22"/>
          <w:szCs w:val="22"/>
        </w:rPr>
        <w:t>and that the subsequent roundtable discussions facilitated by an independent senior manager produced some good findings.</w:t>
      </w:r>
    </w:p>
    <w:p w14:paraId="58DC3BC4" w14:textId="13EDA473" w:rsidR="00D721A0" w:rsidRDefault="00D721A0" w:rsidP="00647BBB">
      <w:pPr>
        <w:pStyle w:val="ListParagraph"/>
        <w:ind w:left="360" w:right="864"/>
        <w:jc w:val="both"/>
        <w:rPr>
          <w:rFonts w:ascii="Times New Roman" w:hAnsi="Times New Roman" w:cs="Times New Roman"/>
          <w:sz w:val="22"/>
          <w:szCs w:val="22"/>
        </w:rPr>
      </w:pPr>
    </w:p>
    <w:p w14:paraId="346459E8" w14:textId="3D63483C" w:rsidR="00D721A0" w:rsidRPr="00E4513D" w:rsidRDefault="005C55EA" w:rsidP="00D721A0">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Cross-cutting</w:t>
      </w:r>
      <w:r w:rsidR="00D721A0">
        <w:rPr>
          <w:rFonts w:ascii="Times New Roman" w:hAnsi="Times New Roman" w:cs="Times New Roman"/>
          <w:b/>
        </w:rPr>
        <w:t xml:space="preserve"> Themes</w:t>
      </w:r>
    </w:p>
    <w:p w14:paraId="1ECA85E1" w14:textId="5A7EC1C2" w:rsidR="00D721A0" w:rsidRDefault="00D721A0" w:rsidP="00647BBB">
      <w:pPr>
        <w:pStyle w:val="ListParagraph"/>
        <w:ind w:left="360" w:right="864"/>
        <w:jc w:val="both"/>
        <w:rPr>
          <w:rFonts w:ascii="Times New Roman" w:hAnsi="Times New Roman" w:cs="Times New Roman"/>
          <w:sz w:val="22"/>
          <w:szCs w:val="22"/>
        </w:rPr>
      </w:pPr>
    </w:p>
    <w:p w14:paraId="4BDC1215" w14:textId="5A67A254" w:rsidR="00D721A0" w:rsidRPr="00D721A0" w:rsidRDefault="00D721A0"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Whilst reviewing the NBSR fuel incident investigation reports and facilitating the subsequent toolboxes </w:t>
      </w:r>
      <w:r w:rsidR="00DB55B8">
        <w:rPr>
          <w:rFonts w:ascii="Times New Roman" w:hAnsi="Times New Roman" w:cs="Times New Roman"/>
          <w:sz w:val="22"/>
          <w:szCs w:val="22"/>
        </w:rPr>
        <w:t>among</w:t>
      </w:r>
      <w:r>
        <w:rPr>
          <w:rFonts w:ascii="Times New Roman" w:hAnsi="Times New Roman" w:cs="Times New Roman"/>
          <w:sz w:val="22"/>
          <w:szCs w:val="22"/>
        </w:rPr>
        <w:t xml:space="preserve"> OPAL </w:t>
      </w:r>
      <w:r w:rsidR="00DB55B8">
        <w:rPr>
          <w:rFonts w:ascii="Times New Roman" w:hAnsi="Times New Roman" w:cs="Times New Roman"/>
          <w:sz w:val="22"/>
          <w:szCs w:val="22"/>
        </w:rPr>
        <w:t xml:space="preserve">personnel </w:t>
      </w:r>
      <w:r>
        <w:rPr>
          <w:rFonts w:ascii="Times New Roman" w:hAnsi="Times New Roman" w:cs="Times New Roman"/>
          <w:sz w:val="22"/>
          <w:szCs w:val="22"/>
        </w:rPr>
        <w:t xml:space="preserve">on the same topic, it became apparent that there were some common </w:t>
      </w:r>
      <w:r w:rsidR="005C55EA">
        <w:rPr>
          <w:rFonts w:ascii="Times New Roman" w:hAnsi="Times New Roman" w:cs="Times New Roman"/>
          <w:sz w:val="22"/>
          <w:szCs w:val="22"/>
        </w:rPr>
        <w:t>cross-cutting</w:t>
      </w:r>
      <w:r>
        <w:rPr>
          <w:rFonts w:ascii="Times New Roman" w:hAnsi="Times New Roman" w:cs="Times New Roman"/>
          <w:sz w:val="22"/>
          <w:szCs w:val="22"/>
        </w:rPr>
        <w:t xml:space="preserve"> themes applicable.  These themes are discussed further below.</w:t>
      </w:r>
    </w:p>
    <w:p w14:paraId="74BA0493" w14:textId="4216C7EF" w:rsidR="00D721A0" w:rsidRDefault="00D721A0" w:rsidP="00647BBB">
      <w:pPr>
        <w:pStyle w:val="ListParagraph"/>
        <w:ind w:left="360" w:right="864"/>
        <w:jc w:val="both"/>
        <w:rPr>
          <w:rFonts w:ascii="Times New Roman" w:hAnsi="Times New Roman" w:cs="Times New Roman"/>
          <w:sz w:val="22"/>
          <w:szCs w:val="22"/>
        </w:rPr>
      </w:pPr>
    </w:p>
    <w:p w14:paraId="1B86909B" w14:textId="6882EA99" w:rsidR="00D721A0" w:rsidRPr="00E4513D" w:rsidRDefault="00D721A0" w:rsidP="00D721A0">
      <w:pPr>
        <w:pStyle w:val="ListParagraph"/>
        <w:numPr>
          <w:ilvl w:val="1"/>
          <w:numId w:val="1"/>
        </w:numPr>
        <w:ind w:right="864"/>
        <w:jc w:val="both"/>
        <w:rPr>
          <w:rFonts w:ascii="Times New Roman" w:hAnsi="Times New Roman" w:cs="Times New Roman"/>
          <w:sz w:val="20"/>
        </w:rPr>
      </w:pPr>
      <w:r>
        <w:rPr>
          <w:rFonts w:ascii="Times New Roman" w:hAnsi="Times New Roman" w:cs="Times New Roman"/>
          <w:b/>
        </w:rPr>
        <w:t>Communication between designers and users</w:t>
      </w:r>
    </w:p>
    <w:p w14:paraId="7F00FAE8" w14:textId="63A68360" w:rsidR="00D721A0" w:rsidRDefault="00D721A0" w:rsidP="00647BBB">
      <w:pPr>
        <w:pStyle w:val="ListParagraph"/>
        <w:ind w:left="360" w:right="864"/>
        <w:jc w:val="both"/>
        <w:rPr>
          <w:rFonts w:ascii="Times New Roman" w:hAnsi="Times New Roman" w:cs="Times New Roman"/>
          <w:sz w:val="22"/>
          <w:szCs w:val="22"/>
        </w:rPr>
      </w:pPr>
    </w:p>
    <w:p w14:paraId="060AE5B3" w14:textId="16185B28" w:rsidR="00D721A0" w:rsidRDefault="00D721A0"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It is evident from both the NBSR fuel incident investigation reports and from the OPAL toolboxes that communication between the design or engineering groups and the operating personnel is necessary to minimize the potential for such incidents to occur.  In both cases, examples were identified of design shortcomings identified by operating groups that were either not communicated to the relevant engineering group or if they were, were not acted upon appropriately.  Conversely, there were also examples identified in both cases where new or modified tools were designed and put into operation by the engineering group without appropriate consultation with the operating groups.</w:t>
      </w:r>
    </w:p>
    <w:p w14:paraId="3F6DD636" w14:textId="73BFB6CC" w:rsidR="00D721A0" w:rsidRDefault="00D721A0" w:rsidP="00647BBB">
      <w:pPr>
        <w:pStyle w:val="ListParagraph"/>
        <w:ind w:left="360" w:right="864"/>
        <w:jc w:val="both"/>
        <w:rPr>
          <w:rFonts w:ascii="Times New Roman" w:hAnsi="Times New Roman" w:cs="Times New Roman"/>
          <w:sz w:val="22"/>
          <w:szCs w:val="22"/>
        </w:rPr>
      </w:pPr>
    </w:p>
    <w:p w14:paraId="1CD4A081" w14:textId="0960C2A8" w:rsidR="00D721A0" w:rsidRDefault="00DB55B8"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T</w:t>
      </w:r>
      <w:r w:rsidR="00D721A0">
        <w:rPr>
          <w:rFonts w:ascii="Times New Roman" w:hAnsi="Times New Roman" w:cs="Times New Roman"/>
          <w:sz w:val="22"/>
          <w:szCs w:val="22"/>
        </w:rPr>
        <w:t>hese are examples of where communication between the designers and the users has failed or is not effective and is common in many, if not all industries, not just the nuclear industry.  All the standards and guides on the application of design processes and change management generally include a requirement to consult with stakeholders early in the process yet this is often missed or only done in a partial manner.  Similarly, users also often fail to give adequate or appropriate feedback to designers about the shortcomings in their designs.  This may be for a variety of reasons, ranging from simple apathy to a feeling that they will not be paid attention to anyway.</w:t>
      </w:r>
    </w:p>
    <w:p w14:paraId="68B6DE89" w14:textId="4A842967" w:rsidR="005C55EA" w:rsidRDefault="005C55EA" w:rsidP="00647BBB">
      <w:pPr>
        <w:pStyle w:val="ListParagraph"/>
        <w:ind w:left="360" w:right="864"/>
        <w:jc w:val="both"/>
        <w:rPr>
          <w:rFonts w:ascii="Times New Roman" w:hAnsi="Times New Roman" w:cs="Times New Roman"/>
          <w:sz w:val="22"/>
          <w:szCs w:val="22"/>
        </w:rPr>
      </w:pPr>
    </w:p>
    <w:p w14:paraId="4B352304" w14:textId="7A067974" w:rsidR="005C55EA" w:rsidRDefault="005C55EA"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As such, organization</w:t>
      </w:r>
      <w:r w:rsidR="004708FF">
        <w:rPr>
          <w:rFonts w:ascii="Times New Roman" w:hAnsi="Times New Roman" w:cs="Times New Roman"/>
          <w:sz w:val="22"/>
          <w:szCs w:val="22"/>
        </w:rPr>
        <w:t>s</w:t>
      </w:r>
      <w:r>
        <w:rPr>
          <w:rFonts w:ascii="Times New Roman" w:hAnsi="Times New Roman" w:cs="Times New Roman"/>
          <w:sz w:val="22"/>
          <w:szCs w:val="22"/>
        </w:rPr>
        <w:t xml:space="preserve"> should try to </w:t>
      </w:r>
      <w:r w:rsidR="00A04852">
        <w:rPr>
          <w:rFonts w:ascii="Times New Roman" w:hAnsi="Times New Roman" w:cs="Times New Roman"/>
          <w:sz w:val="22"/>
          <w:szCs w:val="22"/>
        </w:rPr>
        <w:t>maximize</w:t>
      </w:r>
      <w:r>
        <w:rPr>
          <w:rFonts w:ascii="Times New Roman" w:hAnsi="Times New Roman" w:cs="Times New Roman"/>
          <w:sz w:val="22"/>
          <w:szCs w:val="22"/>
        </w:rPr>
        <w:t xml:space="preserve"> the opportunities for interaction and communication between the design or engineering groups and the operating groups</w:t>
      </w:r>
      <w:r w:rsidR="00DC3C4A">
        <w:rPr>
          <w:rFonts w:ascii="Times New Roman" w:hAnsi="Times New Roman" w:cs="Times New Roman"/>
          <w:sz w:val="22"/>
          <w:szCs w:val="22"/>
        </w:rPr>
        <w:t>.</w:t>
      </w:r>
    </w:p>
    <w:p w14:paraId="6FB80190" w14:textId="0120E6BB" w:rsidR="00D721A0" w:rsidRDefault="00D721A0" w:rsidP="00647BBB">
      <w:pPr>
        <w:pStyle w:val="ListParagraph"/>
        <w:ind w:left="360" w:right="864"/>
        <w:jc w:val="both"/>
        <w:rPr>
          <w:rFonts w:ascii="Times New Roman" w:hAnsi="Times New Roman" w:cs="Times New Roman"/>
          <w:sz w:val="22"/>
          <w:szCs w:val="22"/>
        </w:rPr>
      </w:pPr>
    </w:p>
    <w:p w14:paraId="7B20FA64" w14:textId="623FF23A" w:rsidR="00D721A0" w:rsidRPr="00E4513D" w:rsidRDefault="00D721A0" w:rsidP="00D721A0">
      <w:pPr>
        <w:pStyle w:val="ListParagraph"/>
        <w:numPr>
          <w:ilvl w:val="1"/>
          <w:numId w:val="1"/>
        </w:numPr>
        <w:ind w:right="864"/>
        <w:jc w:val="both"/>
        <w:rPr>
          <w:rFonts w:ascii="Times New Roman" w:hAnsi="Times New Roman" w:cs="Times New Roman"/>
          <w:sz w:val="20"/>
        </w:rPr>
      </w:pPr>
      <w:r>
        <w:rPr>
          <w:rFonts w:ascii="Times New Roman" w:hAnsi="Times New Roman" w:cs="Times New Roman"/>
          <w:b/>
        </w:rPr>
        <w:t>Procedural adherence and compliance</w:t>
      </w:r>
      <w:r w:rsidR="005C55EA">
        <w:rPr>
          <w:rFonts w:ascii="Times New Roman" w:hAnsi="Times New Roman" w:cs="Times New Roman"/>
          <w:b/>
        </w:rPr>
        <w:t xml:space="preserve"> and knowledge management</w:t>
      </w:r>
    </w:p>
    <w:p w14:paraId="66403952" w14:textId="48E3F121" w:rsidR="00D721A0" w:rsidRDefault="00D721A0" w:rsidP="00647BBB">
      <w:pPr>
        <w:pStyle w:val="ListParagraph"/>
        <w:ind w:left="360" w:right="864"/>
        <w:jc w:val="both"/>
        <w:rPr>
          <w:rFonts w:ascii="Times New Roman" w:hAnsi="Times New Roman" w:cs="Times New Roman"/>
          <w:sz w:val="22"/>
          <w:szCs w:val="22"/>
        </w:rPr>
      </w:pPr>
    </w:p>
    <w:p w14:paraId="6BA66B55" w14:textId="218667E4" w:rsidR="00D721A0" w:rsidRDefault="00D721A0"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Both the NBSR fuel incident investigation and the OPAL toolboxes identified issues with procedure adherence and compliance but from opposite directions.  The NBSR fuel incident investigation identified p</w:t>
      </w:r>
      <w:r w:rsidRPr="00647BBB">
        <w:rPr>
          <w:rFonts w:ascii="Times New Roman" w:hAnsi="Times New Roman" w:cs="Times New Roman"/>
          <w:sz w:val="22"/>
          <w:szCs w:val="22"/>
        </w:rPr>
        <w:t xml:space="preserve">rocedural compliance not </w:t>
      </w:r>
      <w:r>
        <w:rPr>
          <w:rFonts w:ascii="Times New Roman" w:hAnsi="Times New Roman" w:cs="Times New Roman"/>
          <w:sz w:val="22"/>
          <w:szCs w:val="22"/>
        </w:rPr>
        <w:t xml:space="preserve">being </w:t>
      </w:r>
      <w:r w:rsidRPr="00647BBB">
        <w:rPr>
          <w:rFonts w:ascii="Times New Roman" w:hAnsi="Times New Roman" w:cs="Times New Roman"/>
          <w:sz w:val="22"/>
          <w:szCs w:val="22"/>
        </w:rPr>
        <w:t>enforced</w:t>
      </w:r>
      <w:r>
        <w:rPr>
          <w:rFonts w:ascii="Times New Roman" w:hAnsi="Times New Roman" w:cs="Times New Roman"/>
          <w:sz w:val="22"/>
          <w:szCs w:val="22"/>
        </w:rPr>
        <w:t xml:space="preserve"> as one of the root causes of the incident whereas the OPAL toolboxes identified overly rigid compliance with all aspects of the instructions as potentially counter-productive and a safety risk.  </w:t>
      </w:r>
      <w:r w:rsidR="00DB55B8">
        <w:rPr>
          <w:rFonts w:ascii="Times New Roman" w:hAnsi="Times New Roman" w:cs="Times New Roman"/>
          <w:sz w:val="22"/>
          <w:szCs w:val="22"/>
        </w:rPr>
        <w:t>Staff</w:t>
      </w:r>
      <w:r>
        <w:rPr>
          <w:rFonts w:ascii="Times New Roman" w:hAnsi="Times New Roman" w:cs="Times New Roman"/>
          <w:sz w:val="22"/>
          <w:szCs w:val="22"/>
        </w:rPr>
        <w:t xml:space="preserve"> felt that highly trained and competent technicians should have the capability to deviate from an instruction where necessary subject to</w:t>
      </w:r>
      <w:r w:rsidR="005C55EA">
        <w:rPr>
          <w:rFonts w:ascii="Times New Roman" w:hAnsi="Times New Roman" w:cs="Times New Roman"/>
          <w:sz w:val="22"/>
          <w:szCs w:val="22"/>
        </w:rPr>
        <w:t xml:space="preserve"> an</w:t>
      </w:r>
      <w:r>
        <w:rPr>
          <w:rFonts w:ascii="Times New Roman" w:hAnsi="Times New Roman" w:cs="Times New Roman"/>
          <w:sz w:val="22"/>
          <w:szCs w:val="22"/>
        </w:rPr>
        <w:t xml:space="preserve"> appropriate</w:t>
      </w:r>
      <w:r w:rsidR="005C55EA">
        <w:rPr>
          <w:rFonts w:ascii="Times New Roman" w:hAnsi="Times New Roman" w:cs="Times New Roman"/>
          <w:sz w:val="22"/>
          <w:szCs w:val="22"/>
        </w:rPr>
        <w:t>ly</w:t>
      </w:r>
      <w:r>
        <w:rPr>
          <w:rFonts w:ascii="Times New Roman" w:hAnsi="Times New Roman" w:cs="Times New Roman"/>
          <w:sz w:val="22"/>
          <w:szCs w:val="22"/>
        </w:rPr>
        <w:t xml:space="preserve"> documented control and approval</w:t>
      </w:r>
      <w:r w:rsidR="005C55EA">
        <w:rPr>
          <w:rFonts w:ascii="Times New Roman" w:hAnsi="Times New Roman" w:cs="Times New Roman"/>
          <w:sz w:val="22"/>
          <w:szCs w:val="22"/>
        </w:rPr>
        <w:t xml:space="preserve"> process</w:t>
      </w:r>
      <w:r>
        <w:rPr>
          <w:rFonts w:ascii="Times New Roman" w:hAnsi="Times New Roman" w:cs="Times New Roman"/>
          <w:sz w:val="22"/>
          <w:szCs w:val="22"/>
        </w:rPr>
        <w:t>.</w:t>
      </w:r>
    </w:p>
    <w:p w14:paraId="1EF50FD4" w14:textId="3A6CF71B" w:rsidR="005C55EA" w:rsidRDefault="005C55EA" w:rsidP="00647BBB">
      <w:pPr>
        <w:pStyle w:val="ListParagraph"/>
        <w:ind w:left="360" w:right="864"/>
        <w:jc w:val="both"/>
        <w:rPr>
          <w:rFonts w:ascii="Times New Roman" w:hAnsi="Times New Roman" w:cs="Times New Roman"/>
          <w:sz w:val="22"/>
          <w:szCs w:val="22"/>
        </w:rPr>
      </w:pPr>
    </w:p>
    <w:p w14:paraId="01509E67" w14:textId="75E7BF74" w:rsidR="005C55EA" w:rsidRDefault="005C55EA"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This is an example of a perennial issue of finding an appropriate balance between reliance on the knowledge of the operating staff versus having all knowledge documented.  There is a strong incentive among operating organization</w:t>
      </w:r>
      <w:r w:rsidR="00DB55B8">
        <w:rPr>
          <w:rFonts w:ascii="Times New Roman" w:hAnsi="Times New Roman" w:cs="Times New Roman"/>
          <w:sz w:val="22"/>
          <w:szCs w:val="22"/>
        </w:rPr>
        <w:t>s</w:t>
      </w:r>
      <w:r>
        <w:rPr>
          <w:rFonts w:ascii="Times New Roman" w:hAnsi="Times New Roman" w:cs="Times New Roman"/>
          <w:sz w:val="22"/>
          <w:szCs w:val="22"/>
        </w:rPr>
        <w:t xml:space="preserve"> for all information and knowledge to be documented so that the loss of staff does not result in the loss of institutional knowledge.  However, there is also a strong case of having highly trained and competent operating personnel capable of using their own judgement and expertise rather than having them simply following instructions by rote.  As commented by some OPAL </w:t>
      </w:r>
      <w:r w:rsidR="00DB55B8">
        <w:rPr>
          <w:rFonts w:ascii="Times New Roman" w:hAnsi="Times New Roman" w:cs="Times New Roman"/>
          <w:sz w:val="22"/>
          <w:szCs w:val="22"/>
        </w:rPr>
        <w:t>U</w:t>
      </w:r>
      <w:r>
        <w:rPr>
          <w:rFonts w:ascii="Times New Roman" w:hAnsi="Times New Roman" w:cs="Times New Roman"/>
          <w:sz w:val="22"/>
          <w:szCs w:val="22"/>
        </w:rPr>
        <w:t xml:space="preserve">tilization </w:t>
      </w:r>
      <w:r w:rsidR="00DB55B8">
        <w:rPr>
          <w:rFonts w:ascii="Times New Roman" w:hAnsi="Times New Roman" w:cs="Times New Roman"/>
          <w:sz w:val="22"/>
          <w:szCs w:val="22"/>
        </w:rPr>
        <w:t>O</w:t>
      </w:r>
      <w:r>
        <w:rPr>
          <w:rFonts w:ascii="Times New Roman" w:hAnsi="Times New Roman" w:cs="Times New Roman"/>
          <w:sz w:val="22"/>
          <w:szCs w:val="22"/>
        </w:rPr>
        <w:t>perators, there is a certain “feel” to the handling and movement of fuel correctly that is very difficult to document or even understand without practical experience.</w:t>
      </w:r>
    </w:p>
    <w:p w14:paraId="2219AD3F" w14:textId="77777777" w:rsidR="005C55EA" w:rsidRDefault="005C55EA" w:rsidP="00647BBB">
      <w:pPr>
        <w:pStyle w:val="ListParagraph"/>
        <w:ind w:left="360" w:right="864"/>
        <w:jc w:val="both"/>
        <w:rPr>
          <w:rFonts w:ascii="Times New Roman" w:hAnsi="Times New Roman" w:cs="Times New Roman"/>
          <w:sz w:val="22"/>
          <w:szCs w:val="22"/>
        </w:rPr>
      </w:pPr>
    </w:p>
    <w:p w14:paraId="48FEBD36" w14:textId="5853D210" w:rsidR="00D721A0" w:rsidRDefault="00D721A0"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It is also a basic principle of technical writing that a procedure or instruction should be written for the end user, not necessarily those who would review and approve it.  This is on the basis that the procedure or instruction should be user friendly to the actual user.  However, it is not uncommon for procedures and instructions to become “bloated” with details and explanations to facilitate understanding by those who do not actually use the procedures or instructions</w:t>
      </w:r>
      <w:r w:rsidR="005C55EA">
        <w:rPr>
          <w:rFonts w:ascii="Times New Roman" w:hAnsi="Times New Roman" w:cs="Times New Roman"/>
          <w:sz w:val="22"/>
          <w:szCs w:val="22"/>
        </w:rPr>
        <w:t xml:space="preserve"> but are involved in the review and approval process</w:t>
      </w:r>
      <w:r>
        <w:rPr>
          <w:rFonts w:ascii="Times New Roman" w:hAnsi="Times New Roman" w:cs="Times New Roman"/>
          <w:sz w:val="22"/>
          <w:szCs w:val="22"/>
        </w:rPr>
        <w:t>.  This in turn can lead to the documents being less useful to the end users.</w:t>
      </w:r>
    </w:p>
    <w:p w14:paraId="22AE939E" w14:textId="1E61EC24" w:rsidR="005C55EA" w:rsidRDefault="005C55EA" w:rsidP="00647BBB">
      <w:pPr>
        <w:pStyle w:val="ListParagraph"/>
        <w:ind w:left="360" w:right="864"/>
        <w:jc w:val="both"/>
        <w:rPr>
          <w:rFonts w:ascii="Times New Roman" w:hAnsi="Times New Roman" w:cs="Times New Roman"/>
          <w:sz w:val="22"/>
          <w:szCs w:val="22"/>
        </w:rPr>
      </w:pPr>
    </w:p>
    <w:p w14:paraId="2DACEF74" w14:textId="30DD46F8" w:rsidR="005C55EA" w:rsidRDefault="005C55EA"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As such, the preparation, review and approval of procedures and instructions important to safety should always involve those charged with the responsibility of </w:t>
      </w:r>
      <w:proofErr w:type="gramStart"/>
      <w:r>
        <w:rPr>
          <w:rFonts w:ascii="Times New Roman" w:hAnsi="Times New Roman" w:cs="Times New Roman"/>
          <w:sz w:val="22"/>
          <w:szCs w:val="22"/>
        </w:rPr>
        <w:t>actually implementing</w:t>
      </w:r>
      <w:proofErr w:type="gramEnd"/>
      <w:r>
        <w:rPr>
          <w:rFonts w:ascii="Times New Roman" w:hAnsi="Times New Roman" w:cs="Times New Roman"/>
          <w:sz w:val="22"/>
          <w:szCs w:val="22"/>
        </w:rPr>
        <w:t xml:space="preserve"> them and should be written with that group in mind.</w:t>
      </w:r>
    </w:p>
    <w:p w14:paraId="739DBA11" w14:textId="0CCDFB47" w:rsidR="00D721A0" w:rsidRDefault="00D721A0" w:rsidP="00647BBB">
      <w:pPr>
        <w:pStyle w:val="ListParagraph"/>
        <w:ind w:left="360" w:right="864"/>
        <w:jc w:val="both"/>
        <w:rPr>
          <w:rFonts w:ascii="Times New Roman" w:hAnsi="Times New Roman" w:cs="Times New Roman"/>
          <w:sz w:val="22"/>
          <w:szCs w:val="22"/>
        </w:rPr>
      </w:pPr>
    </w:p>
    <w:p w14:paraId="4D5CC40F" w14:textId="5B67B293" w:rsidR="005C55EA" w:rsidRPr="00E4513D" w:rsidRDefault="005C55EA" w:rsidP="005C55EA">
      <w:pPr>
        <w:pStyle w:val="ListParagraph"/>
        <w:numPr>
          <w:ilvl w:val="1"/>
          <w:numId w:val="1"/>
        </w:numPr>
        <w:ind w:right="864"/>
        <w:jc w:val="both"/>
        <w:rPr>
          <w:rFonts w:ascii="Times New Roman" w:hAnsi="Times New Roman" w:cs="Times New Roman"/>
          <w:sz w:val="20"/>
        </w:rPr>
      </w:pPr>
      <w:r>
        <w:rPr>
          <w:rFonts w:ascii="Times New Roman" w:hAnsi="Times New Roman" w:cs="Times New Roman"/>
          <w:b/>
        </w:rPr>
        <w:t xml:space="preserve">Staffing, </w:t>
      </w:r>
      <w:proofErr w:type="gramStart"/>
      <w:r>
        <w:rPr>
          <w:rFonts w:ascii="Times New Roman" w:hAnsi="Times New Roman" w:cs="Times New Roman"/>
          <w:b/>
        </w:rPr>
        <w:t>resourcing</w:t>
      </w:r>
      <w:proofErr w:type="gramEnd"/>
      <w:r w:rsidRPr="005C55EA">
        <w:rPr>
          <w:rFonts w:ascii="Times New Roman" w:hAnsi="Times New Roman" w:cs="Times New Roman"/>
          <w:b/>
        </w:rPr>
        <w:t xml:space="preserve"> </w:t>
      </w:r>
      <w:r>
        <w:rPr>
          <w:rFonts w:ascii="Times New Roman" w:hAnsi="Times New Roman" w:cs="Times New Roman"/>
          <w:b/>
        </w:rPr>
        <w:t>and training</w:t>
      </w:r>
    </w:p>
    <w:p w14:paraId="552D7E8D" w14:textId="7ADA4F4F" w:rsidR="005C55EA" w:rsidRDefault="005C55EA" w:rsidP="00647BBB">
      <w:pPr>
        <w:pStyle w:val="ListParagraph"/>
        <w:ind w:left="360" w:right="864"/>
        <w:jc w:val="both"/>
        <w:rPr>
          <w:rFonts w:ascii="Times New Roman" w:hAnsi="Times New Roman" w:cs="Times New Roman"/>
          <w:sz w:val="22"/>
          <w:szCs w:val="22"/>
        </w:rPr>
      </w:pPr>
    </w:p>
    <w:p w14:paraId="24217E11" w14:textId="76A8C190" w:rsidR="005C55EA" w:rsidRDefault="005C55EA"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Both the NBSR fuel incident investigation reports and the OPAL toolboxes identified issues with staffing and resourcing, including the impact of such issues on other aspects, such as knowledge management, training and competencies and ownership of the process.  Whilst in both cases, the completion of formalized training was recognized as important and needed to be documented appropriately, simply giving practical hands-on experience to newer staff under appropriate supervision was also considered to be of significant benefit.  </w:t>
      </w:r>
      <w:proofErr w:type="gramStart"/>
      <w:r>
        <w:rPr>
          <w:rFonts w:ascii="Times New Roman" w:hAnsi="Times New Roman" w:cs="Times New Roman"/>
          <w:sz w:val="22"/>
          <w:szCs w:val="22"/>
        </w:rPr>
        <w:t>A number of</w:t>
      </w:r>
      <w:proofErr w:type="gramEnd"/>
      <w:r>
        <w:rPr>
          <w:rFonts w:ascii="Times New Roman" w:hAnsi="Times New Roman" w:cs="Times New Roman"/>
          <w:sz w:val="22"/>
          <w:szCs w:val="22"/>
        </w:rPr>
        <w:t xml:space="preserve"> other staffing or resourcing practices were identified during the OPAL toolboxes, including the mentoring of newer staff by existing staff and the rostering of new staff to ensure that they gain experience i</w:t>
      </w:r>
      <w:r w:rsidR="00DB55B8">
        <w:rPr>
          <w:rFonts w:ascii="Times New Roman" w:hAnsi="Times New Roman" w:cs="Times New Roman"/>
          <w:sz w:val="22"/>
          <w:szCs w:val="22"/>
        </w:rPr>
        <w:t>n</w:t>
      </w:r>
      <w:r>
        <w:rPr>
          <w:rFonts w:ascii="Times New Roman" w:hAnsi="Times New Roman" w:cs="Times New Roman"/>
          <w:sz w:val="22"/>
          <w:szCs w:val="22"/>
        </w:rPr>
        <w:t xml:space="preserve"> all aspects of the work area.</w:t>
      </w:r>
    </w:p>
    <w:p w14:paraId="450DDA6B" w14:textId="3F8121E6" w:rsidR="005C55EA" w:rsidRDefault="005C55EA" w:rsidP="00647BBB">
      <w:pPr>
        <w:pStyle w:val="ListParagraph"/>
        <w:ind w:left="360" w:right="864"/>
        <w:jc w:val="both"/>
        <w:rPr>
          <w:rFonts w:ascii="Times New Roman" w:hAnsi="Times New Roman" w:cs="Times New Roman"/>
          <w:sz w:val="22"/>
          <w:szCs w:val="22"/>
        </w:rPr>
      </w:pPr>
    </w:p>
    <w:p w14:paraId="57FE4507" w14:textId="2D078E99" w:rsidR="005C55EA" w:rsidRDefault="005C55EA"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Both the NBSR and OPAL have mock-ups that can be used to facilitate training.  However, in both cases, there are shortcomings with the mock-ups.  In the NBSR case, the mock-up does not accurately reflect the latching process whilst in the OPAL case, the mock-up does not reflect both pool-top and fuel clamp activities.  It is well recognized that the use of mock-ups can be of great benefit in the training of personnel.  They can also be very useful and cost-effective in the optimization of major project activities.  In OPAL’s case, it has been estimated that the use of a partial mock-up of the lower reactor pool has already saved </w:t>
      </w:r>
      <w:r>
        <w:rPr>
          <w:rFonts w:ascii="Times New Roman" w:hAnsi="Times New Roman" w:cs="Times New Roman"/>
          <w:sz w:val="22"/>
          <w:szCs w:val="22"/>
        </w:rPr>
        <w:lastRenderedPageBreak/>
        <w:t xml:space="preserve">millions of Australian dollars in relation to the forthcoming replacement of the Cold Neutron Source (CNS).  However, to be most effective, </w:t>
      </w:r>
      <w:r w:rsidR="00DC3C4A">
        <w:rPr>
          <w:rFonts w:ascii="Times New Roman" w:hAnsi="Times New Roman" w:cs="Times New Roman"/>
          <w:sz w:val="22"/>
          <w:szCs w:val="22"/>
        </w:rPr>
        <w:t>mock-ups</w:t>
      </w:r>
      <w:r>
        <w:rPr>
          <w:rFonts w:ascii="Times New Roman" w:hAnsi="Times New Roman" w:cs="Times New Roman"/>
          <w:sz w:val="22"/>
          <w:szCs w:val="22"/>
        </w:rPr>
        <w:t xml:space="preserve"> need to reflect all aspects of the task or activities being simulated accurately and realistically.</w:t>
      </w:r>
    </w:p>
    <w:p w14:paraId="7D2F2850" w14:textId="5C287A83" w:rsidR="00D721A0" w:rsidRDefault="00D721A0" w:rsidP="00647BBB">
      <w:pPr>
        <w:pStyle w:val="ListParagraph"/>
        <w:ind w:left="360" w:right="864"/>
        <w:jc w:val="both"/>
        <w:rPr>
          <w:rFonts w:ascii="Times New Roman" w:hAnsi="Times New Roman" w:cs="Times New Roman"/>
          <w:sz w:val="22"/>
          <w:szCs w:val="22"/>
        </w:rPr>
      </w:pPr>
    </w:p>
    <w:p w14:paraId="17F0E5B5" w14:textId="235F1264" w:rsidR="005C55EA" w:rsidRDefault="005C55EA"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As such, </w:t>
      </w:r>
      <w:r w:rsidR="00DB55B8">
        <w:rPr>
          <w:rFonts w:ascii="Times New Roman" w:hAnsi="Times New Roman" w:cs="Times New Roman"/>
          <w:sz w:val="22"/>
          <w:szCs w:val="22"/>
        </w:rPr>
        <w:t xml:space="preserve">research reactor </w:t>
      </w:r>
      <w:r>
        <w:rPr>
          <w:rFonts w:ascii="Times New Roman" w:hAnsi="Times New Roman" w:cs="Times New Roman"/>
          <w:sz w:val="22"/>
          <w:szCs w:val="22"/>
        </w:rPr>
        <w:t>operat</w:t>
      </w:r>
      <w:r w:rsidR="00DB55B8">
        <w:rPr>
          <w:rFonts w:ascii="Times New Roman" w:hAnsi="Times New Roman" w:cs="Times New Roman"/>
          <w:sz w:val="22"/>
          <w:szCs w:val="22"/>
        </w:rPr>
        <w:t xml:space="preserve">ing </w:t>
      </w:r>
      <w:r w:rsidR="00A04852">
        <w:rPr>
          <w:rFonts w:ascii="Times New Roman" w:hAnsi="Times New Roman" w:cs="Times New Roman"/>
          <w:sz w:val="22"/>
          <w:szCs w:val="22"/>
        </w:rPr>
        <w:t>organization</w:t>
      </w:r>
      <w:r>
        <w:rPr>
          <w:rFonts w:ascii="Times New Roman" w:hAnsi="Times New Roman" w:cs="Times New Roman"/>
          <w:sz w:val="22"/>
          <w:szCs w:val="22"/>
        </w:rPr>
        <w:t xml:space="preserve"> are encouraged to consider the provision of appropriate mock-ups to facilitate the training of operating staff in tasks and activities that are difficult to perform on the real facility</w:t>
      </w:r>
      <w:r w:rsidR="00DC3C4A">
        <w:rPr>
          <w:rFonts w:ascii="Times New Roman" w:hAnsi="Times New Roman" w:cs="Times New Roman"/>
          <w:sz w:val="22"/>
          <w:szCs w:val="22"/>
        </w:rPr>
        <w:t xml:space="preserve"> or are performed only rarely</w:t>
      </w:r>
      <w:r>
        <w:rPr>
          <w:rFonts w:ascii="Times New Roman" w:hAnsi="Times New Roman" w:cs="Times New Roman"/>
          <w:sz w:val="22"/>
          <w:szCs w:val="22"/>
        </w:rPr>
        <w:t>.</w:t>
      </w:r>
    </w:p>
    <w:p w14:paraId="65C012D0" w14:textId="77777777" w:rsidR="005C55EA" w:rsidRDefault="005C55EA" w:rsidP="00647BBB">
      <w:pPr>
        <w:pStyle w:val="ListParagraph"/>
        <w:ind w:left="360" w:right="864"/>
        <w:jc w:val="both"/>
        <w:rPr>
          <w:rFonts w:ascii="Times New Roman" w:hAnsi="Times New Roman" w:cs="Times New Roman"/>
          <w:sz w:val="22"/>
          <w:szCs w:val="22"/>
        </w:rPr>
      </w:pPr>
    </w:p>
    <w:p w14:paraId="0B35E3AB" w14:textId="08743372" w:rsidR="005C55EA" w:rsidRPr="00E4513D" w:rsidRDefault="005C55EA" w:rsidP="005C55EA">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Summary and conclusions</w:t>
      </w:r>
    </w:p>
    <w:p w14:paraId="2266C2E0" w14:textId="6CE653DC" w:rsidR="005C55EA" w:rsidRDefault="005C55EA" w:rsidP="00647BBB">
      <w:pPr>
        <w:pStyle w:val="ListParagraph"/>
        <w:ind w:left="360" w:right="864"/>
        <w:jc w:val="both"/>
        <w:rPr>
          <w:rFonts w:ascii="Times New Roman" w:hAnsi="Times New Roman" w:cs="Times New Roman"/>
          <w:sz w:val="22"/>
          <w:szCs w:val="22"/>
        </w:rPr>
      </w:pPr>
    </w:p>
    <w:p w14:paraId="5B2C08A5" w14:textId="553CD987" w:rsidR="005C55EA" w:rsidRDefault="005C55EA"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Following a fuel incident in February 2021, NCNR performed a detailed investigation of the incident and identified </w:t>
      </w:r>
      <w:proofErr w:type="gramStart"/>
      <w:r>
        <w:rPr>
          <w:rFonts w:ascii="Times New Roman" w:hAnsi="Times New Roman" w:cs="Times New Roman"/>
          <w:sz w:val="22"/>
          <w:szCs w:val="22"/>
        </w:rPr>
        <w:t>a number of</w:t>
      </w:r>
      <w:proofErr w:type="gramEnd"/>
      <w:r>
        <w:rPr>
          <w:rFonts w:ascii="Times New Roman" w:hAnsi="Times New Roman" w:cs="Times New Roman"/>
          <w:sz w:val="22"/>
          <w:szCs w:val="22"/>
        </w:rPr>
        <w:t xml:space="preserve"> root causes as identified in [1].  The NCNR SEC reviewed this investigation report and identified a further two root causes as identified in [2].  Both these reports were made publicly available as part of the NCNR request to the US NCR to restart the NBSR.</w:t>
      </w:r>
    </w:p>
    <w:p w14:paraId="4E9AFB7F" w14:textId="2AAF26B5" w:rsidR="005C55EA" w:rsidRDefault="005C55EA" w:rsidP="00647BBB">
      <w:pPr>
        <w:pStyle w:val="ListParagraph"/>
        <w:ind w:left="360" w:right="864"/>
        <w:jc w:val="both"/>
        <w:rPr>
          <w:rFonts w:ascii="Times New Roman" w:hAnsi="Times New Roman" w:cs="Times New Roman"/>
          <w:sz w:val="22"/>
          <w:szCs w:val="22"/>
        </w:rPr>
      </w:pPr>
    </w:p>
    <w:p w14:paraId="1C6CB2FD" w14:textId="6E8A7399" w:rsidR="005C55EA" w:rsidRDefault="005C55EA" w:rsidP="00647BBB">
      <w:pPr>
        <w:pStyle w:val="ListParagraph"/>
        <w:ind w:left="360" w:right="864"/>
        <w:jc w:val="both"/>
        <w:rPr>
          <w:rFonts w:ascii="Times New Roman" w:hAnsi="Times New Roman" w:cs="Times New Roman"/>
          <w:sz w:val="22"/>
          <w:szCs w:val="22"/>
        </w:rPr>
      </w:pPr>
      <w:r>
        <w:rPr>
          <w:rFonts w:ascii="Times New Roman" w:hAnsi="Times New Roman" w:cs="Times New Roman"/>
          <w:sz w:val="22"/>
          <w:szCs w:val="22"/>
        </w:rPr>
        <w:t xml:space="preserve">ANSTO Reactor Operations reviewed these two reports and determined that there may be lessons to be learned for the OPAL </w:t>
      </w:r>
      <w:r w:rsidR="00DB55B8">
        <w:rPr>
          <w:rFonts w:ascii="Times New Roman" w:hAnsi="Times New Roman" w:cs="Times New Roman"/>
          <w:sz w:val="22"/>
          <w:szCs w:val="22"/>
        </w:rPr>
        <w:t>R</w:t>
      </w:r>
      <w:r>
        <w:rPr>
          <w:rFonts w:ascii="Times New Roman" w:hAnsi="Times New Roman" w:cs="Times New Roman"/>
          <w:sz w:val="22"/>
          <w:szCs w:val="22"/>
        </w:rPr>
        <w:t xml:space="preserve">eactor design and operations </w:t>
      </w:r>
      <w:proofErr w:type="gramStart"/>
      <w:r>
        <w:rPr>
          <w:rFonts w:ascii="Times New Roman" w:hAnsi="Times New Roman" w:cs="Times New Roman"/>
          <w:sz w:val="22"/>
          <w:szCs w:val="22"/>
        </w:rPr>
        <w:t>as a result of</w:t>
      </w:r>
      <w:proofErr w:type="gramEnd"/>
      <w:r>
        <w:rPr>
          <w:rFonts w:ascii="Times New Roman" w:hAnsi="Times New Roman" w:cs="Times New Roman"/>
          <w:sz w:val="22"/>
          <w:szCs w:val="22"/>
        </w:rPr>
        <w:t xml:space="preserve"> the fuel incident.  </w:t>
      </w:r>
      <w:r w:rsidRPr="005C55EA">
        <w:rPr>
          <w:rFonts w:ascii="Times New Roman" w:hAnsi="Times New Roman" w:cs="Times New Roman"/>
          <w:sz w:val="22"/>
          <w:szCs w:val="22"/>
        </w:rPr>
        <w:t xml:space="preserve">This review and investigation </w:t>
      </w:r>
      <w:proofErr w:type="gramStart"/>
      <w:r w:rsidRPr="005C55EA">
        <w:rPr>
          <w:rFonts w:ascii="Times New Roman" w:hAnsi="Times New Roman" w:cs="Times New Roman"/>
          <w:sz w:val="22"/>
          <w:szCs w:val="22"/>
        </w:rPr>
        <w:t>was</w:t>
      </w:r>
      <w:proofErr w:type="gramEnd"/>
      <w:r w:rsidRPr="005C55EA">
        <w:rPr>
          <w:rFonts w:ascii="Times New Roman" w:hAnsi="Times New Roman" w:cs="Times New Roman"/>
          <w:sz w:val="22"/>
          <w:szCs w:val="22"/>
        </w:rPr>
        <w:t xml:space="preserve"> performed through a series of toolbox sessions involving staff from across all areas of Reactor Operations</w:t>
      </w:r>
      <w:r>
        <w:rPr>
          <w:rFonts w:ascii="Times New Roman" w:hAnsi="Times New Roman" w:cs="Times New Roman"/>
          <w:sz w:val="22"/>
          <w:szCs w:val="22"/>
        </w:rPr>
        <w:t xml:space="preserve"> and a number of opportunities for improvement were identified</w:t>
      </w:r>
      <w:r w:rsidRPr="005C55EA">
        <w:rPr>
          <w:rFonts w:ascii="Times New Roman" w:hAnsi="Times New Roman" w:cs="Times New Roman"/>
          <w:sz w:val="22"/>
          <w:szCs w:val="22"/>
        </w:rPr>
        <w:t xml:space="preserve">.  </w:t>
      </w:r>
      <w:r>
        <w:rPr>
          <w:rFonts w:ascii="Times New Roman" w:hAnsi="Times New Roman" w:cs="Times New Roman"/>
          <w:sz w:val="22"/>
          <w:szCs w:val="22"/>
        </w:rPr>
        <w:t xml:space="preserve">Three generic cross-cutting themes were also identified that </w:t>
      </w:r>
      <w:r w:rsidR="004708FF">
        <w:rPr>
          <w:rFonts w:ascii="Times New Roman" w:hAnsi="Times New Roman" w:cs="Times New Roman"/>
          <w:sz w:val="22"/>
          <w:szCs w:val="22"/>
        </w:rPr>
        <w:t>other</w:t>
      </w:r>
      <w:r>
        <w:rPr>
          <w:rFonts w:ascii="Times New Roman" w:hAnsi="Times New Roman" w:cs="Times New Roman"/>
          <w:sz w:val="22"/>
          <w:szCs w:val="22"/>
        </w:rPr>
        <w:t xml:space="preserve"> research reactor operating organization may wish to take into consideration.</w:t>
      </w:r>
    </w:p>
    <w:p w14:paraId="4138C85F" w14:textId="77777777" w:rsidR="005C55EA" w:rsidRDefault="005C55EA" w:rsidP="00647BBB">
      <w:pPr>
        <w:pStyle w:val="ListParagraph"/>
        <w:ind w:left="360" w:right="864"/>
        <w:jc w:val="both"/>
        <w:rPr>
          <w:rFonts w:ascii="Times New Roman" w:hAnsi="Times New Roman" w:cs="Times New Roman"/>
          <w:sz w:val="22"/>
          <w:szCs w:val="22"/>
        </w:rPr>
      </w:pPr>
    </w:p>
    <w:p w14:paraId="776F7DB1" w14:textId="77777777" w:rsidR="005C55EA" w:rsidRPr="00647BBB" w:rsidRDefault="005C55EA" w:rsidP="00647BBB">
      <w:pPr>
        <w:pStyle w:val="ListParagraph"/>
        <w:ind w:left="360" w:right="864"/>
        <w:jc w:val="both"/>
        <w:rPr>
          <w:rFonts w:ascii="Times New Roman" w:hAnsi="Times New Roman" w:cs="Times New Roman"/>
          <w:sz w:val="22"/>
          <w:szCs w:val="22"/>
        </w:rPr>
      </w:pPr>
    </w:p>
    <w:p w14:paraId="5C5A3902" w14:textId="77777777" w:rsidR="00F24B6B" w:rsidRDefault="00F24B6B" w:rsidP="00F24B6B">
      <w:pPr>
        <w:ind w:right="864"/>
        <w:jc w:val="both"/>
        <w:rPr>
          <w:rFonts w:ascii="Times New Roman" w:hAnsi="Times New Roman" w:cs="Times New Roman"/>
          <w:b/>
          <w:szCs w:val="22"/>
        </w:rPr>
      </w:pPr>
      <w:r>
        <w:rPr>
          <w:rFonts w:ascii="Times New Roman" w:hAnsi="Times New Roman" w:cs="Times New Roman"/>
          <w:b/>
          <w:szCs w:val="22"/>
        </w:rPr>
        <w:t>Acknowledgements</w:t>
      </w:r>
    </w:p>
    <w:p w14:paraId="0C49E60F" w14:textId="77777777" w:rsidR="00F24B6B" w:rsidRDefault="00F24B6B" w:rsidP="00F24B6B">
      <w:pPr>
        <w:ind w:right="864"/>
        <w:jc w:val="both"/>
        <w:rPr>
          <w:rFonts w:ascii="Times New Roman" w:hAnsi="Times New Roman" w:cs="Times New Roman"/>
          <w:b/>
          <w:szCs w:val="22"/>
        </w:rPr>
      </w:pPr>
    </w:p>
    <w:p w14:paraId="0A0B893F" w14:textId="32661A80" w:rsidR="00F24B6B" w:rsidRPr="00F24B6B" w:rsidRDefault="00F24B6B" w:rsidP="00F24B6B">
      <w:pPr>
        <w:ind w:right="864"/>
        <w:jc w:val="both"/>
        <w:rPr>
          <w:rFonts w:ascii="Times New Roman" w:hAnsi="Times New Roman" w:cs="Times New Roman"/>
          <w:sz w:val="22"/>
          <w:szCs w:val="22"/>
        </w:rPr>
      </w:pPr>
      <w:r w:rsidRPr="00F24B6B">
        <w:rPr>
          <w:rFonts w:ascii="Times New Roman" w:hAnsi="Times New Roman" w:cs="Times New Roman"/>
          <w:sz w:val="22"/>
          <w:szCs w:val="22"/>
        </w:rPr>
        <w:t>The author wish</w:t>
      </w:r>
      <w:r w:rsidR="00647BBB">
        <w:rPr>
          <w:rFonts w:ascii="Times New Roman" w:hAnsi="Times New Roman" w:cs="Times New Roman"/>
          <w:sz w:val="22"/>
          <w:szCs w:val="22"/>
        </w:rPr>
        <w:t>es</w:t>
      </w:r>
      <w:r w:rsidRPr="00F24B6B">
        <w:rPr>
          <w:rFonts w:ascii="Times New Roman" w:hAnsi="Times New Roman" w:cs="Times New Roman"/>
          <w:sz w:val="22"/>
          <w:szCs w:val="22"/>
        </w:rPr>
        <w:t xml:space="preserve"> to thank </w:t>
      </w:r>
      <w:r w:rsidR="00647BBB">
        <w:rPr>
          <w:rFonts w:ascii="Times New Roman" w:hAnsi="Times New Roman" w:cs="Times New Roman"/>
          <w:sz w:val="22"/>
          <w:szCs w:val="22"/>
        </w:rPr>
        <w:t>the staff and management of the NCNR, including the NCNR SEC, for performing a detailed and comprehensive event investigation that was of great benefit to other research reactor facilities.</w:t>
      </w:r>
      <w:r w:rsidR="005C55EA">
        <w:rPr>
          <w:rFonts w:ascii="Times New Roman" w:hAnsi="Times New Roman" w:cs="Times New Roman"/>
          <w:sz w:val="22"/>
          <w:szCs w:val="22"/>
        </w:rPr>
        <w:t xml:space="preserve">  The author also wishes to thank the operations, utilization and systems engineering staff at OPAL for their valuable, </w:t>
      </w:r>
      <w:proofErr w:type="gramStart"/>
      <w:r w:rsidR="005C55EA">
        <w:rPr>
          <w:rFonts w:ascii="Times New Roman" w:hAnsi="Times New Roman" w:cs="Times New Roman"/>
          <w:sz w:val="22"/>
          <w:szCs w:val="22"/>
        </w:rPr>
        <w:t>open</w:t>
      </w:r>
      <w:proofErr w:type="gramEnd"/>
      <w:r w:rsidR="005C55EA">
        <w:rPr>
          <w:rFonts w:ascii="Times New Roman" w:hAnsi="Times New Roman" w:cs="Times New Roman"/>
          <w:sz w:val="22"/>
          <w:szCs w:val="22"/>
        </w:rPr>
        <w:t xml:space="preserve"> and honest contributions to the OPAL toolboxes.</w:t>
      </w:r>
    </w:p>
    <w:p w14:paraId="779CE769" w14:textId="77777777" w:rsidR="00F24B6B" w:rsidRDefault="00F24B6B" w:rsidP="00F24B6B">
      <w:pPr>
        <w:ind w:right="864"/>
        <w:jc w:val="both"/>
        <w:rPr>
          <w:rFonts w:ascii="Times New Roman" w:hAnsi="Times New Roman" w:cs="Times New Roman"/>
          <w:b/>
          <w:szCs w:val="22"/>
        </w:rPr>
      </w:pPr>
    </w:p>
    <w:p w14:paraId="5966A9D1" w14:textId="77777777" w:rsidR="00F24B6B" w:rsidRDefault="00F24B6B" w:rsidP="00F24B6B">
      <w:pPr>
        <w:ind w:right="864"/>
        <w:jc w:val="both"/>
        <w:rPr>
          <w:rFonts w:ascii="Times New Roman" w:hAnsi="Times New Roman" w:cs="Times New Roman"/>
          <w:b/>
          <w:szCs w:val="22"/>
        </w:rPr>
      </w:pPr>
      <w:r>
        <w:rPr>
          <w:rFonts w:ascii="Times New Roman" w:hAnsi="Times New Roman" w:cs="Times New Roman"/>
          <w:b/>
          <w:szCs w:val="22"/>
        </w:rPr>
        <w:t xml:space="preserve">References </w:t>
      </w:r>
    </w:p>
    <w:p w14:paraId="528DAEBC" w14:textId="77777777" w:rsidR="00F24B6B" w:rsidRDefault="00F24B6B" w:rsidP="00F24B6B">
      <w:pPr>
        <w:ind w:right="864"/>
        <w:jc w:val="both"/>
        <w:rPr>
          <w:rFonts w:ascii="Times New Roman" w:hAnsi="Times New Roman" w:cs="Times New Roman"/>
          <w:b/>
          <w:szCs w:val="22"/>
        </w:rPr>
      </w:pPr>
    </w:p>
    <w:p w14:paraId="20754D26" w14:textId="22BEA3E7" w:rsidR="00F24B6B" w:rsidRDefault="00F24B6B" w:rsidP="00F24B6B">
      <w:pPr>
        <w:ind w:right="864"/>
        <w:jc w:val="both"/>
        <w:rPr>
          <w:rFonts w:ascii="Times New Roman" w:hAnsi="Times New Roman" w:cs="Times New Roman"/>
          <w:sz w:val="22"/>
          <w:szCs w:val="22"/>
        </w:rPr>
      </w:pPr>
      <w:r w:rsidRPr="00F24B6B">
        <w:rPr>
          <w:rFonts w:ascii="Times New Roman" w:hAnsi="Times New Roman" w:cs="Times New Roman"/>
          <w:sz w:val="22"/>
          <w:szCs w:val="22"/>
        </w:rPr>
        <w:t>[1]</w:t>
      </w:r>
      <w:r w:rsidRPr="00F24B6B">
        <w:rPr>
          <w:rFonts w:ascii="Times New Roman" w:hAnsi="Times New Roman" w:cs="Times New Roman"/>
          <w:sz w:val="22"/>
          <w:szCs w:val="22"/>
        </w:rPr>
        <w:tab/>
      </w:r>
      <w:r w:rsidR="00647BBB">
        <w:rPr>
          <w:rFonts w:ascii="Times New Roman" w:hAnsi="Times New Roman" w:cs="Times New Roman"/>
          <w:sz w:val="22"/>
          <w:szCs w:val="22"/>
        </w:rPr>
        <w:t>NCNR Technical Working Group</w:t>
      </w:r>
      <w:r w:rsidRPr="00F24B6B">
        <w:rPr>
          <w:rFonts w:ascii="Times New Roman" w:hAnsi="Times New Roman" w:cs="Times New Roman"/>
          <w:sz w:val="22"/>
          <w:szCs w:val="22"/>
        </w:rPr>
        <w:t>, “</w:t>
      </w:r>
      <w:r w:rsidR="00647BBB">
        <w:rPr>
          <w:rFonts w:ascii="Times New Roman" w:hAnsi="Times New Roman" w:cs="Times New Roman"/>
          <w:sz w:val="22"/>
          <w:szCs w:val="22"/>
        </w:rPr>
        <w:t>Root Cause Investigation of February 2021 Fuel Failure</w:t>
      </w:r>
      <w:r w:rsidRPr="00F24B6B">
        <w:rPr>
          <w:rFonts w:ascii="Times New Roman" w:hAnsi="Times New Roman" w:cs="Times New Roman"/>
          <w:sz w:val="22"/>
          <w:szCs w:val="22"/>
        </w:rPr>
        <w:t xml:space="preserve">”, </w:t>
      </w:r>
      <w:r w:rsidR="00647BBB">
        <w:rPr>
          <w:rFonts w:ascii="Times New Roman" w:hAnsi="Times New Roman" w:cs="Times New Roman"/>
          <w:sz w:val="22"/>
          <w:szCs w:val="22"/>
        </w:rPr>
        <w:t>Revision 2</w:t>
      </w:r>
      <w:r w:rsidRPr="00F24B6B">
        <w:rPr>
          <w:rFonts w:ascii="Times New Roman" w:hAnsi="Times New Roman" w:cs="Times New Roman"/>
          <w:sz w:val="22"/>
          <w:szCs w:val="22"/>
        </w:rPr>
        <w:t xml:space="preserve">, </w:t>
      </w:r>
      <w:r w:rsidR="00647BBB">
        <w:rPr>
          <w:rFonts w:ascii="Times New Roman" w:hAnsi="Times New Roman" w:cs="Times New Roman"/>
          <w:sz w:val="22"/>
          <w:szCs w:val="22"/>
        </w:rPr>
        <w:t>September 2021</w:t>
      </w:r>
    </w:p>
    <w:p w14:paraId="2E1E4177" w14:textId="59C24387" w:rsidR="00647BBB" w:rsidRDefault="00647BBB" w:rsidP="00F24B6B">
      <w:pPr>
        <w:ind w:right="864"/>
        <w:jc w:val="both"/>
        <w:rPr>
          <w:rFonts w:ascii="Times New Roman" w:hAnsi="Times New Roman" w:cs="Times New Roman"/>
          <w:sz w:val="22"/>
          <w:szCs w:val="22"/>
        </w:rPr>
      </w:pPr>
    </w:p>
    <w:p w14:paraId="0CA56EF5" w14:textId="2691102B" w:rsidR="00647BBB" w:rsidRPr="00F24B6B" w:rsidRDefault="00647BBB" w:rsidP="00F24B6B">
      <w:pPr>
        <w:ind w:right="864"/>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Safety Evaluation Committee (SEC) Event Response and Corrective Action</w:t>
      </w:r>
      <w:r w:rsidRPr="00647BBB">
        <w:rPr>
          <w:rFonts w:ascii="Times New Roman" w:hAnsi="Times New Roman" w:cs="Times New Roman"/>
          <w:sz w:val="22"/>
          <w:szCs w:val="22"/>
        </w:rPr>
        <w:t xml:space="preserve"> </w:t>
      </w:r>
      <w:r>
        <w:rPr>
          <w:rFonts w:ascii="Times New Roman" w:hAnsi="Times New Roman" w:cs="Times New Roman"/>
          <w:sz w:val="22"/>
          <w:szCs w:val="22"/>
        </w:rPr>
        <w:t>Subcommittee (ERCAS), “Review of the NCNR Event Response and Technical Working Group Root Cause Analysis and Corrective Action Plan”, August 2021</w:t>
      </w:r>
    </w:p>
    <w:p w14:paraId="4F1D5F07" w14:textId="77777777" w:rsidR="001D5F8A" w:rsidRPr="00F24B6B" w:rsidRDefault="001D5F8A" w:rsidP="00A04852">
      <w:pPr>
        <w:ind w:right="864"/>
        <w:jc w:val="both"/>
        <w:rPr>
          <w:rFonts w:ascii="Times New Roman" w:hAnsi="Times New Roman" w:cs="Times New Roman"/>
          <w:sz w:val="20"/>
        </w:rPr>
      </w:pPr>
    </w:p>
    <w:p w14:paraId="34D38089" w14:textId="77777777" w:rsidR="001D5F8A" w:rsidRPr="00266A9D" w:rsidRDefault="001D5F8A" w:rsidP="00266A9D">
      <w:pPr>
        <w:ind w:right="864"/>
        <w:jc w:val="both"/>
        <w:rPr>
          <w:rFonts w:ascii="Times New Roman" w:hAnsi="Times New Roman" w:cs="Times New Roman"/>
          <w:sz w:val="20"/>
        </w:rPr>
      </w:pPr>
    </w:p>
    <w:sectPr w:rsidR="001D5F8A" w:rsidRPr="00266A9D" w:rsidSect="006065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9156" w14:textId="77777777" w:rsidR="003E0A2A" w:rsidRDefault="003E0A2A" w:rsidP="005C55EA">
      <w:r>
        <w:separator/>
      </w:r>
    </w:p>
  </w:endnote>
  <w:endnote w:type="continuationSeparator" w:id="0">
    <w:p w14:paraId="12A8DFD8" w14:textId="77777777" w:rsidR="003E0A2A" w:rsidRDefault="003E0A2A" w:rsidP="005C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CC0A" w14:textId="77777777" w:rsidR="005C55EA" w:rsidRDefault="005C5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72AC" w14:textId="77777777" w:rsidR="005C55EA" w:rsidRDefault="005C5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4634" w14:textId="77777777" w:rsidR="005C55EA" w:rsidRDefault="005C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CA39" w14:textId="77777777" w:rsidR="003E0A2A" w:rsidRDefault="003E0A2A" w:rsidP="005C55EA">
      <w:r>
        <w:separator/>
      </w:r>
    </w:p>
  </w:footnote>
  <w:footnote w:type="continuationSeparator" w:id="0">
    <w:p w14:paraId="52D0E642" w14:textId="77777777" w:rsidR="003E0A2A" w:rsidRDefault="003E0A2A" w:rsidP="005C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855D" w14:textId="77777777" w:rsidR="005C55EA" w:rsidRDefault="005C5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0AFD" w14:textId="234FA4BA" w:rsidR="005C55EA" w:rsidRDefault="005C5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D673" w14:textId="77777777" w:rsidR="005C55EA" w:rsidRDefault="005C5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DAC"/>
    <w:multiLevelType w:val="hybridMultilevel"/>
    <w:tmpl w:val="D52472B4"/>
    <w:lvl w:ilvl="0" w:tplc="0C09000F">
      <w:start w:val="1"/>
      <w:numFmt w:val="decimal"/>
      <w:lvlText w:val="%1."/>
      <w:lvlJc w:val="left"/>
      <w:pPr>
        <w:ind w:left="873" w:hanging="360"/>
      </w:p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1" w15:restartNumberingAfterBreak="0">
    <w:nsid w:val="062726AC"/>
    <w:multiLevelType w:val="hybridMultilevel"/>
    <w:tmpl w:val="9AE025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1F20EE"/>
    <w:multiLevelType w:val="hybridMultilevel"/>
    <w:tmpl w:val="D52472B4"/>
    <w:lvl w:ilvl="0" w:tplc="FFFFFFFF">
      <w:start w:val="1"/>
      <w:numFmt w:val="decimal"/>
      <w:lvlText w:val="%1."/>
      <w:lvlJc w:val="left"/>
      <w:pPr>
        <w:ind w:left="873" w:hanging="360"/>
      </w:pPr>
    </w:lvl>
    <w:lvl w:ilvl="1" w:tplc="FFFFFFFF" w:tentative="1">
      <w:start w:val="1"/>
      <w:numFmt w:val="lowerLetter"/>
      <w:lvlText w:val="%2."/>
      <w:lvlJc w:val="left"/>
      <w:pPr>
        <w:ind w:left="1593"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3" w15:restartNumberingAfterBreak="0">
    <w:nsid w:val="11D141DF"/>
    <w:multiLevelType w:val="hybridMultilevel"/>
    <w:tmpl w:val="76E012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A0C7373"/>
    <w:multiLevelType w:val="hybridMultilevel"/>
    <w:tmpl w:val="A54CC830"/>
    <w:lvl w:ilvl="0" w:tplc="793A1F8A">
      <w:start w:val="1"/>
      <w:numFmt w:val="bullet"/>
      <w:pStyle w:val="confbulletedtex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813FA1"/>
    <w:multiLevelType w:val="hybridMultilevel"/>
    <w:tmpl w:val="7B90B7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3BE60B3"/>
    <w:multiLevelType w:val="hybridMultilevel"/>
    <w:tmpl w:val="E27C48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3D277D8"/>
    <w:multiLevelType w:val="hybridMultilevel"/>
    <w:tmpl w:val="F5C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104A0"/>
    <w:multiLevelType w:val="multilevel"/>
    <w:tmpl w:val="103046D0"/>
    <w:lvl w:ilvl="0">
      <w:start w:val="1"/>
      <w:numFmt w:val="decimal"/>
      <w:lvlText w:val="%1."/>
      <w:lvlJc w:val="left"/>
      <w:pPr>
        <w:ind w:left="360" w:hanging="360"/>
      </w:pPr>
      <w:rPr>
        <w:b/>
        <w:sz w:val="24"/>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2479616">
    <w:abstractNumId w:val="8"/>
  </w:num>
  <w:num w:numId="2" w16cid:durableId="631978415">
    <w:abstractNumId w:val="7"/>
  </w:num>
  <w:num w:numId="3" w16cid:durableId="1419599525">
    <w:abstractNumId w:val="4"/>
  </w:num>
  <w:num w:numId="4" w16cid:durableId="2032338633">
    <w:abstractNumId w:val="1"/>
  </w:num>
  <w:num w:numId="5" w16cid:durableId="1259681902">
    <w:abstractNumId w:val="5"/>
  </w:num>
  <w:num w:numId="6" w16cid:durableId="1043015535">
    <w:abstractNumId w:val="0"/>
  </w:num>
  <w:num w:numId="7" w16cid:durableId="1125805029">
    <w:abstractNumId w:val="3"/>
  </w:num>
  <w:num w:numId="8" w16cid:durableId="747650022">
    <w:abstractNumId w:val="6"/>
  </w:num>
  <w:num w:numId="9" w16cid:durableId="214114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9F"/>
    <w:rsid w:val="00011288"/>
    <w:rsid w:val="00094858"/>
    <w:rsid w:val="00126770"/>
    <w:rsid w:val="001B500C"/>
    <w:rsid w:val="001D5F8A"/>
    <w:rsid w:val="00266A9D"/>
    <w:rsid w:val="002D4F8E"/>
    <w:rsid w:val="002E5B62"/>
    <w:rsid w:val="00384A8F"/>
    <w:rsid w:val="003C0E4E"/>
    <w:rsid w:val="003E0A2A"/>
    <w:rsid w:val="00432E26"/>
    <w:rsid w:val="00454591"/>
    <w:rsid w:val="004708FF"/>
    <w:rsid w:val="00560EA5"/>
    <w:rsid w:val="005C55EA"/>
    <w:rsid w:val="006065E3"/>
    <w:rsid w:val="00647BBB"/>
    <w:rsid w:val="006A2526"/>
    <w:rsid w:val="00704B54"/>
    <w:rsid w:val="0072384B"/>
    <w:rsid w:val="00735A49"/>
    <w:rsid w:val="00743E61"/>
    <w:rsid w:val="008070EC"/>
    <w:rsid w:val="0084049F"/>
    <w:rsid w:val="008C17D2"/>
    <w:rsid w:val="00931CDF"/>
    <w:rsid w:val="00970196"/>
    <w:rsid w:val="00A04852"/>
    <w:rsid w:val="00A109DF"/>
    <w:rsid w:val="00AD52A3"/>
    <w:rsid w:val="00B3024C"/>
    <w:rsid w:val="00B331CD"/>
    <w:rsid w:val="00D00878"/>
    <w:rsid w:val="00D721A0"/>
    <w:rsid w:val="00D86873"/>
    <w:rsid w:val="00DB55B8"/>
    <w:rsid w:val="00DC3C4A"/>
    <w:rsid w:val="00E4513D"/>
    <w:rsid w:val="00ED259E"/>
    <w:rsid w:val="00EF1274"/>
    <w:rsid w:val="00F24B6B"/>
    <w:rsid w:val="00F676EA"/>
    <w:rsid w:val="00FA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E28C"/>
  <w15:chartTrackingRefBased/>
  <w15:docId w15:val="{CA521419-902E-3644-A013-13F9367F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E3"/>
    <w:pPr>
      <w:ind w:left="720"/>
      <w:contextualSpacing/>
    </w:pPr>
  </w:style>
  <w:style w:type="paragraph" w:customStyle="1" w:styleId="conftext">
    <w:name w:val="conf_text"/>
    <w:rsid w:val="0072384B"/>
    <w:pPr>
      <w:ind w:firstLine="187"/>
      <w:jc w:val="both"/>
    </w:pPr>
    <w:rPr>
      <w:rFonts w:ascii="Times New Roman" w:eastAsia="Times New Roman" w:hAnsi="Times New Roman" w:cs="Times New Roman"/>
      <w:sz w:val="20"/>
      <w:szCs w:val="20"/>
    </w:rPr>
  </w:style>
  <w:style w:type="paragraph" w:customStyle="1" w:styleId="tableheading">
    <w:name w:val="table_heading"/>
    <w:rsid w:val="0072384B"/>
    <w:pPr>
      <w:jc w:val="center"/>
    </w:pPr>
    <w:rPr>
      <w:rFonts w:ascii="Times New Roman" w:eastAsia="Times New Roman" w:hAnsi="Times New Roman" w:cs="Times New Roman"/>
      <w:b/>
      <w:sz w:val="20"/>
      <w:szCs w:val="20"/>
    </w:rPr>
  </w:style>
  <w:style w:type="paragraph" w:customStyle="1" w:styleId="confbulletedtext">
    <w:name w:val="conf_bulleted_text"/>
    <w:rsid w:val="00F24B6B"/>
    <w:pPr>
      <w:numPr>
        <w:numId w:val="3"/>
      </w:numPr>
      <w:tabs>
        <w:tab w:val="clear" w:pos="1080"/>
        <w:tab w:val="left" w:pos="547"/>
      </w:tabs>
      <w:ind w:left="547" w:hanging="187"/>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070EC"/>
    <w:rPr>
      <w:color w:val="0563C1" w:themeColor="hyperlink"/>
      <w:u w:val="single"/>
    </w:rPr>
  </w:style>
  <w:style w:type="character" w:styleId="UnresolvedMention">
    <w:name w:val="Unresolved Mention"/>
    <w:basedOn w:val="DefaultParagraphFont"/>
    <w:uiPriority w:val="99"/>
    <w:semiHidden/>
    <w:unhideWhenUsed/>
    <w:rsid w:val="008070EC"/>
    <w:rPr>
      <w:color w:val="605E5C"/>
      <w:shd w:val="clear" w:color="auto" w:fill="E1DFDD"/>
    </w:rPr>
  </w:style>
  <w:style w:type="paragraph" w:styleId="Header">
    <w:name w:val="header"/>
    <w:basedOn w:val="Normal"/>
    <w:link w:val="HeaderChar"/>
    <w:uiPriority w:val="99"/>
    <w:unhideWhenUsed/>
    <w:rsid w:val="005C55EA"/>
    <w:pPr>
      <w:tabs>
        <w:tab w:val="center" w:pos="4513"/>
        <w:tab w:val="right" w:pos="9026"/>
      </w:tabs>
    </w:pPr>
  </w:style>
  <w:style w:type="character" w:customStyle="1" w:styleId="HeaderChar">
    <w:name w:val="Header Char"/>
    <w:basedOn w:val="DefaultParagraphFont"/>
    <w:link w:val="Header"/>
    <w:uiPriority w:val="99"/>
    <w:rsid w:val="005C55EA"/>
  </w:style>
  <w:style w:type="paragraph" w:styleId="Footer">
    <w:name w:val="footer"/>
    <w:basedOn w:val="Normal"/>
    <w:link w:val="FooterChar"/>
    <w:uiPriority w:val="99"/>
    <w:unhideWhenUsed/>
    <w:rsid w:val="005C55EA"/>
    <w:pPr>
      <w:tabs>
        <w:tab w:val="center" w:pos="4513"/>
        <w:tab w:val="right" w:pos="9026"/>
      </w:tabs>
    </w:pPr>
  </w:style>
  <w:style w:type="character" w:customStyle="1" w:styleId="FooterChar">
    <w:name w:val="Footer Char"/>
    <w:basedOn w:val="DefaultParagraphFont"/>
    <w:link w:val="Footer"/>
    <w:uiPriority w:val="99"/>
    <w:rsid w:val="005C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7997-B17A-49F0-B61B-ADAC6A1D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SUMMERFIELD, Mark</cp:lastModifiedBy>
  <cp:revision>4</cp:revision>
  <dcterms:created xsi:type="dcterms:W3CDTF">2023-06-02T05:07:00Z</dcterms:created>
  <dcterms:modified xsi:type="dcterms:W3CDTF">2023-06-02T05:07:00Z</dcterms:modified>
</cp:coreProperties>
</file>